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hAnsi="黑体" w:eastAsia="黑体" w:cs="黑体"/>
          <w:bCs/>
          <w:sz w:val="32"/>
          <w:szCs w:val="28"/>
        </w:rPr>
      </w:pPr>
      <w:r>
        <w:rPr>
          <w:rFonts w:hint="eastAsia" w:ascii="黑体" w:hAnsi="黑体" w:eastAsia="黑体" w:cs="黑体"/>
          <w:bCs/>
          <w:sz w:val="32"/>
          <w:szCs w:val="28"/>
        </w:rPr>
        <w:t>附件3</w:t>
      </w:r>
    </w:p>
    <w:p>
      <w:pPr>
        <w:pStyle w:val="2"/>
        <w:spacing w:before="312"/>
        <w:ind w:left="130" w:right="130"/>
        <w:rPr>
          <w:rFonts w:hint="eastAsia" w:ascii="方正小标宋_GBK" w:hAnsi="方正小标宋简体" w:eastAsia="方正小标宋_GBK" w:cs="方正小标宋简体"/>
          <w:szCs w:val="32"/>
        </w:rPr>
      </w:pPr>
      <w:bookmarkStart w:id="0" w:name="_GoBack"/>
      <w:r>
        <w:rPr>
          <w:rFonts w:hint="eastAsia" w:ascii="方正小标宋_GBK" w:hAnsi="黑体" w:eastAsia="方正小标宋_GBK" w:cs="黑体"/>
          <w:sz w:val="36"/>
          <w:szCs w:val="36"/>
        </w:rPr>
        <w:t>XXXX年度油气</w:t>
      </w:r>
      <w:r>
        <w:rPr>
          <w:rFonts w:hint="eastAsia" w:ascii="方正小标宋_GBK" w:hAnsi="方正小标宋简体" w:eastAsia="方正小标宋_GBK" w:cs="方正小标宋简体"/>
          <w:sz w:val="36"/>
          <w:szCs w:val="36"/>
        </w:rPr>
        <w:t>矿产资源储量结算统计信息表</w:t>
      </w:r>
      <w:bookmarkEnd w:id="0"/>
    </w:p>
    <w:tbl>
      <w:tblPr>
        <w:tblStyle w:val="1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615"/>
        <w:gridCol w:w="704"/>
        <w:gridCol w:w="906"/>
        <w:gridCol w:w="964"/>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基</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本</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情</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况</w:t>
            </w:r>
          </w:p>
          <w:p>
            <w:pPr>
              <w:adjustRightInd w:val="0"/>
              <w:snapToGrid w:val="0"/>
              <w:jc w:val="center"/>
              <w:rPr>
                <w:rFonts w:ascii="Times New Roman" w:hAnsi="Times New Roman" w:eastAsia="仿宋_GB2312"/>
                <w:sz w:val="20"/>
              </w:rPr>
            </w:pPr>
            <w:r>
              <w:rPr>
                <w:rFonts w:ascii="Times New Roman" w:hAnsi="Times New Roman" w:eastAsia="仿宋_GB2312"/>
                <w:b/>
                <w:kern w:val="0"/>
                <w:sz w:val="20"/>
              </w:rPr>
              <w:t>（1）</w:t>
            </w: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矿业权人：</w:t>
            </w:r>
          </w:p>
        </w:tc>
        <w:tc>
          <w:tcPr>
            <w:tcW w:w="70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矿产资源储量报告情况</w:t>
            </w:r>
          </w:p>
          <w:p>
            <w:pPr>
              <w:adjustRightInd w:val="0"/>
              <w:snapToGrid w:val="0"/>
              <w:jc w:val="center"/>
              <w:rPr>
                <w:rFonts w:ascii="Times New Roman" w:hAnsi="Times New Roman" w:eastAsia="仿宋_GB2312"/>
                <w:sz w:val="20"/>
              </w:rPr>
            </w:pPr>
            <w:r>
              <w:rPr>
                <w:rFonts w:hint="eastAsia" w:ascii="Times New Roman" w:hAnsi="Times New Roman" w:eastAsia="仿宋_GB2312"/>
                <w:b/>
                <w:kern w:val="0"/>
                <w:sz w:val="20"/>
              </w:rPr>
              <w:t>(2)</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报告名称：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ascii="Times New Roman" w:hAnsi="Times New Roman" w:eastAsia="仿宋_GB2312"/>
                <w:kern w:val="0"/>
                <w:sz w:val="20"/>
              </w:rPr>
              <w:t>分</w:t>
            </w:r>
            <w:r>
              <w:rPr>
                <w:rFonts w:hint="eastAsia" w:ascii="Times New Roman" w:hAnsi="Times New Roman" w:eastAsia="仿宋_GB2312"/>
                <w:kern w:val="0"/>
                <w:sz w:val="20"/>
              </w:rPr>
              <w:t>（子）公司：</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估算基准日：年月日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通讯地址：</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报告提交时间：年月日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矿业权证号1：</w:t>
            </w:r>
          </w:p>
        </w:tc>
        <w:tc>
          <w:tcPr>
            <w:tcW w:w="704"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kern w:val="0"/>
                <w:sz w:val="20"/>
              </w:rPr>
            </w:pPr>
            <w:r>
              <w:rPr>
                <w:rFonts w:hint="eastAsia" w:ascii="Times New Roman" w:hAnsi="Times New Roman" w:eastAsia="仿宋_GB2312"/>
                <w:kern w:val="0"/>
                <w:sz w:val="20"/>
              </w:rPr>
              <w:t>规模：</w:t>
            </w:r>
          </w:p>
          <w:p>
            <w:pPr>
              <w:adjustRightInd w:val="0"/>
              <w:snapToGrid w:val="0"/>
              <w:jc w:val="left"/>
              <w:rPr>
                <w:rFonts w:ascii="Times New Roman" w:hAnsi="Times New Roman" w:eastAsia="仿宋_GB2312"/>
                <w:strike/>
                <w:sz w:val="20"/>
              </w:rPr>
            </w:pPr>
            <w:r>
              <w:rPr>
                <w:rFonts w:hint="eastAsia" w:ascii="Times New Roman" w:hAnsi="Times New Roman" w:eastAsia="仿宋_GB2312"/>
                <w:kern w:val="0"/>
                <w:sz w:val="20"/>
              </w:rPr>
              <w:t>特大型□大型□中型□小型□特小型□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矿业权有效期：年月日止</w:t>
            </w:r>
          </w:p>
        </w:tc>
        <w:tc>
          <w:tcPr>
            <w:tcW w:w="70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外</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部</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条</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件</w:t>
            </w:r>
          </w:p>
          <w:p>
            <w:pPr>
              <w:adjustRightInd w:val="0"/>
              <w:snapToGrid w:val="0"/>
              <w:jc w:val="center"/>
              <w:rPr>
                <w:rFonts w:ascii="Times New Roman" w:hAnsi="Times New Roman" w:eastAsia="仿宋_GB2312"/>
                <w:sz w:val="20"/>
              </w:rPr>
            </w:pPr>
            <w:r>
              <w:rPr>
                <w:rFonts w:ascii="Times New Roman" w:hAnsi="Times New Roman" w:eastAsia="仿宋_GB2312"/>
                <w:b/>
                <w:kern w:val="0"/>
                <w:sz w:val="20"/>
              </w:rPr>
              <w:t>（3）</w:t>
            </w:r>
          </w:p>
        </w:tc>
        <w:tc>
          <w:tcPr>
            <w:tcW w:w="3548" w:type="dxa"/>
            <w:gridSpan w:val="3"/>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eastAsia="仿宋_GB2312"/>
                <w:strike/>
                <w:sz w:val="20"/>
              </w:rPr>
            </w:pPr>
            <w:r>
              <w:rPr>
                <w:rFonts w:ascii="Times New Roman" w:hAnsi="Times New Roman" w:eastAsia="仿宋_GB2312"/>
                <w:kern w:val="0"/>
                <w:sz w:val="20"/>
              </w:rPr>
              <w:t>所处地理环境</w:t>
            </w:r>
            <w:r>
              <w:rPr>
                <w:rFonts w:hint="eastAsia" w:ascii="Times New Roman" w:hAnsi="Times New Roman" w:eastAsia="仿宋_GB2312"/>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矿业权类型：探矿权□采矿权□</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906" w:type="dxa"/>
            <w:vMerge w:val="restart"/>
            <w:tcBorders>
              <w:left w:val="single" w:color="auto" w:sz="4" w:space="0"/>
              <w:right w:val="single" w:color="auto" w:sz="4" w:space="0"/>
            </w:tcBorders>
            <w:vAlign w:val="center"/>
          </w:tcPr>
          <w:p>
            <w:pPr>
              <w:adjustRightInd w:val="0"/>
              <w:snapToGrid w:val="0"/>
              <w:jc w:val="left"/>
              <w:rPr>
                <w:rFonts w:ascii="Times New Roman" w:hAnsi="Times New Roman" w:eastAsia="仿宋_GB2312"/>
                <w:kern w:val="0"/>
                <w:sz w:val="20"/>
              </w:rPr>
            </w:pPr>
            <w:r>
              <w:rPr>
                <w:rFonts w:hint="eastAsia" w:ascii="Times New Roman" w:hAnsi="Times New Roman" w:eastAsia="仿宋_GB2312"/>
                <w:kern w:val="0"/>
                <w:sz w:val="20"/>
              </w:rPr>
              <w:t>最近</w:t>
            </w:r>
          </w:p>
          <w:p>
            <w:pPr>
              <w:adjustRightInd w:val="0"/>
              <w:snapToGrid w:val="0"/>
              <w:jc w:val="left"/>
              <w:rPr>
                <w:rFonts w:ascii="Times New Roman" w:hAnsi="Times New Roman" w:eastAsia="仿宋_GB2312"/>
                <w:kern w:val="0"/>
                <w:sz w:val="20"/>
              </w:rPr>
            </w:pPr>
            <w:r>
              <w:rPr>
                <w:rFonts w:hint="eastAsia" w:ascii="Times New Roman" w:hAnsi="Times New Roman" w:eastAsia="仿宋_GB2312"/>
                <w:kern w:val="0"/>
                <w:sz w:val="20"/>
              </w:rPr>
              <w:t>输送</w:t>
            </w:r>
          </w:p>
          <w:p>
            <w:pPr>
              <w:adjustRightInd w:val="0"/>
              <w:snapToGrid w:val="0"/>
              <w:jc w:val="left"/>
              <w:rPr>
                <w:rFonts w:ascii="Times New Roman" w:hAnsi="Times New Roman" w:eastAsia="仿宋_GB2312"/>
                <w:kern w:val="0"/>
                <w:sz w:val="20"/>
              </w:rPr>
            </w:pPr>
            <w:r>
              <w:rPr>
                <w:rFonts w:hint="eastAsia" w:ascii="Times New Roman" w:hAnsi="Times New Roman" w:eastAsia="仿宋_GB2312"/>
                <w:kern w:val="0"/>
                <w:sz w:val="20"/>
              </w:rPr>
              <w:t>距离</w:t>
            </w:r>
          </w:p>
          <w:p>
            <w:pPr>
              <w:adjustRightInd w:val="0"/>
              <w:snapToGrid w:val="0"/>
              <w:jc w:val="left"/>
              <w:rPr>
                <w:rFonts w:ascii="Times New Roman" w:hAnsi="Times New Roman" w:eastAsia="仿宋_GB2312"/>
                <w:strike/>
                <w:sz w:val="20"/>
              </w:rPr>
            </w:pPr>
            <w:r>
              <w:rPr>
                <w:rFonts w:hint="eastAsia" w:ascii="Times New Roman" w:hAnsi="Times New Roman" w:eastAsia="仿宋_GB2312"/>
                <w:kern w:val="0"/>
                <w:sz w:val="20"/>
              </w:rPr>
              <w:t>终端：</w:t>
            </w:r>
          </w:p>
        </w:tc>
        <w:tc>
          <w:tcPr>
            <w:tcW w:w="964" w:type="dxa"/>
            <w:vMerge w:val="restart"/>
            <w:tcBorders>
              <w:left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ascii="Times New Roman" w:hAnsi="Times New Roman" w:eastAsia="仿宋_GB2312"/>
                <w:kern w:val="0"/>
                <w:sz w:val="20"/>
              </w:rPr>
              <w:t>石油</w:t>
            </w:r>
          </w:p>
        </w:tc>
        <w:tc>
          <w:tcPr>
            <w:tcW w:w="1678" w:type="dxa"/>
            <w:tcBorders>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ascii="Times New Roman" w:hAnsi="Times New Roman" w:eastAsia="仿宋_GB2312"/>
                <w:kern w:val="0"/>
                <w:sz w:val="20"/>
              </w:rPr>
              <w:t>距离</w:t>
            </w:r>
            <w:r>
              <w:rPr>
                <w:rFonts w:hint="eastAsia" w:ascii="Times New Roman" w:hAnsi="Times New Roman" w:eastAsia="仿宋_GB2312"/>
                <w:kern w:val="0"/>
                <w:sz w:val="20"/>
              </w:rPr>
              <w:t>：</w:t>
            </w:r>
            <w:r>
              <w:rPr>
                <w:rFonts w:ascii="Times New Roman" w:hAnsi="Times New Roman" w:eastAsia="仿宋_GB2312"/>
                <w:kern w:val="0"/>
                <w:sz w:val="20"/>
              </w:rPr>
              <w:t xml:space="preserve">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矿业权证号2：</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906" w:type="dxa"/>
            <w:vMerge w:val="continue"/>
            <w:tcBorders>
              <w:left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964"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kern w:val="0"/>
                <w:sz w:val="20"/>
              </w:rPr>
            </w:pPr>
          </w:p>
        </w:tc>
        <w:tc>
          <w:tcPr>
            <w:tcW w:w="16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kern w:val="0"/>
                <w:sz w:val="20"/>
              </w:rPr>
            </w:pPr>
            <w:r>
              <w:rPr>
                <w:rFonts w:ascii="Times New Roman" w:hAnsi="Times New Roman" w:eastAsia="仿宋_GB2312"/>
                <w:kern w:val="0"/>
                <w:sz w:val="20"/>
              </w:rPr>
              <w:t>名称</w:t>
            </w:r>
            <w:r>
              <w:rPr>
                <w:rFonts w:hint="eastAsia" w:ascii="Times New Roman" w:hAnsi="Times New Roman" w:eastAsia="仿宋_GB2312"/>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矿业权有效期：年月日止</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906" w:type="dxa"/>
            <w:vMerge w:val="continue"/>
            <w:tcBorders>
              <w:left w:val="single" w:color="auto" w:sz="4" w:space="0"/>
              <w:right w:val="single" w:color="auto" w:sz="4" w:space="0"/>
            </w:tcBorders>
            <w:vAlign w:val="center"/>
          </w:tcPr>
          <w:p>
            <w:pPr>
              <w:adjustRightInd w:val="0"/>
              <w:snapToGrid w:val="0"/>
              <w:jc w:val="left"/>
              <w:rPr>
                <w:rFonts w:ascii="Times New Roman" w:hAnsi="Times New Roman" w:eastAsia="仿宋_GB2312"/>
                <w:strike/>
                <w:sz w:val="20"/>
              </w:rPr>
            </w:pPr>
          </w:p>
        </w:tc>
        <w:tc>
          <w:tcPr>
            <w:tcW w:w="964" w:type="dxa"/>
            <w:vMerge w:val="restart"/>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eastAsia="仿宋_GB2312"/>
                <w:strike/>
                <w:kern w:val="0"/>
                <w:sz w:val="20"/>
              </w:rPr>
            </w:pPr>
            <w:r>
              <w:rPr>
                <w:rFonts w:hint="eastAsia" w:ascii="Times New Roman" w:hAnsi="Times New Roman" w:eastAsia="仿宋_GB2312"/>
                <w:kern w:val="0"/>
                <w:sz w:val="20"/>
              </w:rPr>
              <w:t>天然气</w:t>
            </w:r>
          </w:p>
        </w:tc>
        <w:tc>
          <w:tcPr>
            <w:tcW w:w="16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trike/>
                <w:kern w:val="0"/>
                <w:sz w:val="20"/>
              </w:rPr>
            </w:pPr>
            <w:r>
              <w:rPr>
                <w:rFonts w:ascii="Times New Roman" w:hAnsi="Times New Roman" w:eastAsia="仿宋_GB2312"/>
                <w:kern w:val="0"/>
                <w:sz w:val="20"/>
              </w:rPr>
              <w:t>距离</w:t>
            </w:r>
            <w:r>
              <w:rPr>
                <w:rFonts w:hint="eastAsia" w:ascii="Times New Roman" w:hAnsi="Times New Roman" w:eastAsia="仿宋_GB2312"/>
                <w:kern w:val="0"/>
                <w:sz w:val="20"/>
              </w:rPr>
              <w:t>：</w:t>
            </w:r>
            <w:r>
              <w:rPr>
                <w:rFonts w:ascii="Times New Roman" w:hAnsi="Times New Roman" w:eastAsia="仿宋_GB2312"/>
                <w:kern w:val="0"/>
                <w:sz w:val="20"/>
              </w:rPr>
              <w:t xml:space="preserve">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矿业权类型：探矿权□采矿权□</w:t>
            </w:r>
          </w:p>
        </w:tc>
        <w:tc>
          <w:tcPr>
            <w:tcW w:w="704"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906"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trike/>
                <w:sz w:val="20"/>
              </w:rPr>
            </w:pPr>
          </w:p>
        </w:tc>
        <w:tc>
          <w:tcPr>
            <w:tcW w:w="964" w:type="dxa"/>
            <w:vMerge w:val="continue"/>
            <w:tcBorders>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trike/>
                <w:kern w:val="0"/>
                <w:sz w:val="20"/>
              </w:rPr>
            </w:pPr>
          </w:p>
        </w:tc>
        <w:tc>
          <w:tcPr>
            <w:tcW w:w="16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trike/>
                <w:kern w:val="0"/>
                <w:sz w:val="20"/>
              </w:rPr>
            </w:pPr>
            <w:r>
              <w:rPr>
                <w:rFonts w:ascii="Times New Roman" w:hAnsi="Times New Roman" w:eastAsia="仿宋_GB2312"/>
                <w:kern w:val="0"/>
                <w:sz w:val="20"/>
              </w:rPr>
              <w:t>名称</w:t>
            </w:r>
            <w:r>
              <w:rPr>
                <w:rFonts w:hint="eastAsia" w:ascii="Times New Roman" w:hAnsi="Times New Roman" w:eastAsia="仿宋_GB2312"/>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矿业权证号</w:t>
            </w:r>
            <w:r>
              <w:rPr>
                <w:rFonts w:ascii="Times New Roman" w:hAnsi="Times New Roman" w:eastAsia="仿宋_GB2312"/>
                <w:kern w:val="0"/>
                <w:sz w:val="20"/>
              </w:rPr>
              <w:t>3</w:t>
            </w:r>
            <w:r>
              <w:rPr>
                <w:rFonts w:hint="eastAsia" w:ascii="Times New Roman" w:hAnsi="Times New Roman" w:eastAsia="仿宋_GB2312"/>
                <w:kern w:val="0"/>
                <w:sz w:val="20"/>
              </w:rPr>
              <w:t>：</w:t>
            </w:r>
          </w:p>
        </w:tc>
        <w:tc>
          <w:tcPr>
            <w:tcW w:w="70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主</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要</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油</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气</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田</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特</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征</w:t>
            </w:r>
          </w:p>
          <w:p>
            <w:pPr>
              <w:adjustRightInd w:val="0"/>
              <w:snapToGrid w:val="0"/>
              <w:jc w:val="center"/>
              <w:rPr>
                <w:rFonts w:ascii="Times New Roman" w:hAnsi="Times New Roman" w:eastAsia="仿宋_GB2312"/>
                <w:sz w:val="20"/>
              </w:rPr>
            </w:pPr>
            <w:r>
              <w:rPr>
                <w:rFonts w:ascii="Times New Roman" w:hAnsi="Times New Roman" w:eastAsia="仿宋_GB2312"/>
                <w:b/>
                <w:kern w:val="0"/>
                <w:sz w:val="20"/>
              </w:rPr>
              <w:t>（4）</w:t>
            </w:r>
          </w:p>
        </w:tc>
        <w:tc>
          <w:tcPr>
            <w:tcW w:w="35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含油层位：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矿业权有效期：年月日止</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含气层位：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矿业权类型：探矿权□采矿权□</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vMerge w:val="restart"/>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eastAsia="仿宋_GB2312"/>
                <w:kern w:val="0"/>
                <w:sz w:val="20"/>
              </w:rPr>
            </w:pPr>
            <w:r>
              <w:rPr>
                <w:rFonts w:hint="eastAsia" w:ascii="Times New Roman" w:hAnsi="Times New Roman" w:eastAsia="仿宋_GB2312"/>
                <w:kern w:val="0"/>
                <w:sz w:val="20"/>
              </w:rPr>
              <w:t>油气藏类型：</w:t>
            </w:r>
          </w:p>
          <w:p>
            <w:pPr>
              <w:adjustRightInd w:val="0"/>
              <w:snapToGrid w:val="0"/>
              <w:jc w:val="left"/>
              <w:rPr>
                <w:rFonts w:ascii="Times New Roman" w:hAnsi="Times New Roman" w:eastAsia="仿宋_GB2312"/>
                <w:sz w:val="20"/>
              </w:rPr>
            </w:pPr>
          </w:p>
          <w:p>
            <w:pPr>
              <w:adjustRightInd w:val="0"/>
              <w:snapToGrid w:val="0"/>
              <w:jc w:val="left"/>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油气田名称:</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vMerge w:val="continue"/>
            <w:tcBorders>
              <w:left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油气田编号:</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vMerge w:val="continue"/>
            <w:tcBorders>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kern w:val="0"/>
                <w:sz w:val="20"/>
              </w:rPr>
            </w:pPr>
            <w:r>
              <w:rPr>
                <w:rFonts w:hint="eastAsia" w:ascii="Times New Roman" w:hAnsi="Times New Roman" w:eastAsia="仿宋_GB2312"/>
                <w:kern w:val="0"/>
                <w:sz w:val="20"/>
              </w:rPr>
              <w:t>所在行政区：</w:t>
            </w:r>
          </w:p>
          <w:p>
            <w:pPr>
              <w:adjustRightInd w:val="0"/>
              <w:snapToGrid w:val="0"/>
              <w:jc w:val="left"/>
              <w:rPr>
                <w:rFonts w:ascii="Times New Roman" w:hAnsi="Times New Roman" w:eastAsia="仿宋_GB2312"/>
                <w:sz w:val="20"/>
              </w:rPr>
            </w:pPr>
            <w:r>
              <w:rPr>
                <w:rFonts w:hint="eastAsia" w:ascii="Times New Roman" w:hAnsi="Times New Roman" w:eastAsia="仿宋_GB2312" w:cs="仿宋_GB2312"/>
                <w:sz w:val="20"/>
              </w:rPr>
              <w:t>省市县</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油层顶部埋深：m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油气田代表井坐标</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left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油层底部埋深：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经度（或Y）:</w:t>
            </w:r>
          </w:p>
        </w:tc>
        <w:tc>
          <w:tcPr>
            <w:tcW w:w="70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left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含油高度：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p>
        </w:tc>
        <w:tc>
          <w:tcPr>
            <w:tcW w:w="36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纬度（或X）:</w:t>
            </w:r>
          </w:p>
        </w:tc>
        <w:tc>
          <w:tcPr>
            <w:tcW w:w="704"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3548" w:type="dxa"/>
            <w:gridSpan w:val="3"/>
            <w:tcBorders>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含气高度：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油</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气</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藏</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特</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征</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及</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开</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采</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条</w:t>
            </w:r>
          </w:p>
          <w:p>
            <w:pPr>
              <w:adjustRightInd w:val="0"/>
              <w:snapToGrid w:val="0"/>
              <w:jc w:val="center"/>
              <w:rPr>
                <w:rFonts w:ascii="Times New Roman" w:hAnsi="Times New Roman" w:eastAsia="仿宋_GB2312"/>
                <w:b/>
                <w:kern w:val="0"/>
                <w:sz w:val="20"/>
              </w:rPr>
            </w:pPr>
            <w:r>
              <w:rPr>
                <w:rFonts w:hint="eastAsia" w:ascii="Times New Roman" w:hAnsi="Times New Roman" w:eastAsia="仿宋_GB2312"/>
                <w:b/>
                <w:kern w:val="0"/>
                <w:sz w:val="20"/>
              </w:rPr>
              <w:t>件</w:t>
            </w:r>
          </w:p>
          <w:p>
            <w:pPr>
              <w:adjustRightInd w:val="0"/>
              <w:snapToGrid w:val="0"/>
              <w:jc w:val="center"/>
              <w:rPr>
                <w:rFonts w:ascii="Times New Roman" w:hAnsi="Times New Roman" w:eastAsia="仿宋_GB2312"/>
                <w:sz w:val="20"/>
              </w:rPr>
            </w:pPr>
            <w:r>
              <w:rPr>
                <w:rFonts w:ascii="Times New Roman" w:hAnsi="Times New Roman" w:eastAsia="仿宋_GB2312"/>
                <w:b/>
                <w:kern w:val="0"/>
                <w:sz w:val="20"/>
              </w:rPr>
              <w:t>（</w:t>
            </w:r>
            <w:r>
              <w:rPr>
                <w:rFonts w:hint="eastAsia" w:ascii="Times New Roman" w:hAnsi="Times New Roman" w:eastAsia="仿宋_GB2312"/>
                <w:b/>
                <w:kern w:val="0"/>
                <w:sz w:val="20"/>
              </w:rPr>
              <w:t>5</w:t>
            </w:r>
            <w:r>
              <w:rPr>
                <w:rFonts w:ascii="Times New Roman" w:hAnsi="Times New Roman" w:eastAsia="仿宋_GB2312"/>
                <w:b/>
                <w:kern w:val="0"/>
                <w:sz w:val="20"/>
              </w:rPr>
              <w:t>）</w:t>
            </w: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地面原油密度：</w:t>
            </w:r>
            <w:r>
              <w:rPr>
                <w:rFonts w:ascii="Times New Roman" w:hAnsi="Times New Roman" w:eastAsia="仿宋_GB2312"/>
                <w:kern w:val="0"/>
                <w:sz w:val="20"/>
              </w:rPr>
              <w:t xml:space="preserve"> g/cm</w:t>
            </w:r>
            <w:r>
              <w:rPr>
                <w:rFonts w:ascii="Times New Roman" w:hAnsi="Times New Roman" w:eastAsia="仿宋_GB2312"/>
                <w:kern w:val="0"/>
                <w:sz w:val="20"/>
                <w:vertAlign w:val="superscript"/>
              </w:rPr>
              <w:t>3</w:t>
            </w:r>
            <w:r>
              <w:rPr>
                <w:rFonts w:hint="eastAsia" w:ascii="Times New Roman" w:hAnsi="Times New Roman" w:eastAsia="仿宋_GB2312"/>
                <w:kern w:val="0"/>
                <w:sz w:val="20"/>
              </w:rPr>
              <w:t>～</w:t>
            </w:r>
            <w:r>
              <w:rPr>
                <w:rFonts w:ascii="Times New Roman" w:hAnsi="Times New Roman" w:eastAsia="仿宋_GB2312"/>
                <w:kern w:val="0"/>
                <w:sz w:val="20"/>
              </w:rPr>
              <w:t xml:space="preserve">    g/cm</w:t>
            </w:r>
            <w:r>
              <w:rPr>
                <w:rFonts w:ascii="Times New Roman" w:hAnsi="Times New Roman" w:eastAsia="仿宋_GB2312"/>
                <w:kern w:val="0"/>
                <w:sz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地面原油粘度：</w:t>
            </w:r>
            <w:r>
              <w:rPr>
                <w:rFonts w:ascii="Times New Roman" w:hAnsi="Times New Roman" w:eastAsia="仿宋_GB2312"/>
                <w:kern w:val="0"/>
                <w:sz w:val="20"/>
              </w:rPr>
              <w:t xml:space="preserve">  mpa</w:t>
            </w:r>
            <w:r>
              <w:rPr>
                <w:rFonts w:hint="eastAsia" w:ascii="Times New Roman" w:hAnsi="Times New Roman" w:eastAsia="仿宋_GB2312" w:cs="微软雅黑"/>
                <w:kern w:val="0"/>
                <w:sz w:val="20"/>
              </w:rPr>
              <w:t>﹒</w:t>
            </w:r>
            <w:r>
              <w:rPr>
                <w:rFonts w:ascii="Times New Roman" w:hAnsi="Times New Roman" w:eastAsia="仿宋_GB2312"/>
                <w:kern w:val="0"/>
                <w:sz w:val="20"/>
              </w:rPr>
              <w:t>s</w:t>
            </w:r>
            <w:r>
              <w:rPr>
                <w:rFonts w:hint="eastAsia" w:ascii="Times New Roman" w:hAnsi="Times New Roman" w:eastAsia="仿宋_GB2312"/>
                <w:kern w:val="0"/>
                <w:sz w:val="20"/>
              </w:rPr>
              <w:t>～</w:t>
            </w:r>
            <w:r>
              <w:rPr>
                <w:rFonts w:ascii="Times New Roman" w:hAnsi="Times New Roman" w:eastAsia="仿宋_GB2312"/>
                <w:kern w:val="0"/>
                <w:sz w:val="20"/>
              </w:rPr>
              <w:t xml:space="preserve">  mpa</w:t>
            </w:r>
            <w:r>
              <w:rPr>
                <w:rFonts w:hint="eastAsia" w:ascii="Times New Roman" w:hAnsi="Times New Roman" w:eastAsia="仿宋_GB2312" w:cs="微软雅黑"/>
                <w:kern w:val="0"/>
                <w:sz w:val="20"/>
              </w:rPr>
              <w:t>﹒</w:t>
            </w:r>
            <w:r>
              <w:rPr>
                <w:rFonts w:ascii="Times New Roman" w:hAnsi="Times New Roman" w:eastAsia="仿宋_GB2312"/>
                <w:kern w:val="0"/>
                <w:sz w:val="20"/>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原油</w:t>
            </w:r>
            <w:r>
              <w:rPr>
                <w:rFonts w:ascii="Times New Roman" w:hAnsi="Times New Roman" w:eastAsia="仿宋_GB2312"/>
                <w:kern w:val="0"/>
                <w:sz w:val="20"/>
              </w:rPr>
              <w:t>凝固点</w:t>
            </w:r>
            <w:r>
              <w:rPr>
                <w:rFonts w:hint="eastAsia" w:ascii="Times New Roman" w:hAnsi="Times New Roman" w:eastAsia="仿宋_GB2312"/>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原油含硫量：%～%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原油</w:t>
            </w:r>
            <w:r>
              <w:rPr>
                <w:rFonts w:ascii="Times New Roman" w:hAnsi="Times New Roman" w:eastAsia="仿宋_GB2312"/>
                <w:kern w:val="0"/>
                <w:sz w:val="20"/>
              </w:rPr>
              <w:t>含蜡量</w:t>
            </w:r>
            <w:r>
              <w:rPr>
                <w:rFonts w:hint="eastAsia" w:ascii="Times New Roman" w:hAnsi="Times New Roman" w:eastAsia="仿宋_GB2312"/>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天然气相对密度：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累计产油：</w:t>
            </w:r>
            <w:r>
              <w:rPr>
                <w:rFonts w:ascii="Times New Roman" w:hAnsi="Times New Roman" w:eastAsia="仿宋_GB2312"/>
                <w:kern w:val="0"/>
                <w:sz w:val="20"/>
              </w:rPr>
              <w:t xml:space="preserve">         10</w:t>
            </w:r>
            <w:r>
              <w:rPr>
                <w:rFonts w:ascii="Times New Roman" w:hAnsi="Times New Roman" w:eastAsia="仿宋_GB2312"/>
                <w:kern w:val="0"/>
                <w:sz w:val="20"/>
                <w:vertAlign w:val="superscript"/>
              </w:rPr>
              <w:t>4</w:t>
            </w:r>
            <w:r>
              <w:rPr>
                <w:rFonts w:ascii="Times New Roman" w:hAnsi="Times New Roman" w:eastAsia="仿宋_GB2312"/>
                <w:kern w:val="0"/>
                <w:sz w:val="20"/>
              </w:rPr>
              <w:t>m</w:t>
            </w:r>
            <w:r>
              <w:rPr>
                <w:rFonts w:ascii="Times New Roman" w:hAnsi="Times New Roman" w:eastAsia="仿宋_GB2312"/>
                <w:kern w:val="0"/>
                <w:sz w:val="20"/>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5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0"/>
              </w:rPr>
            </w:pPr>
          </w:p>
        </w:tc>
        <w:tc>
          <w:tcPr>
            <w:tcW w:w="786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eastAsia="仿宋_GB2312"/>
                <w:sz w:val="20"/>
              </w:rPr>
            </w:pPr>
            <w:r>
              <w:rPr>
                <w:rFonts w:hint="eastAsia" w:ascii="Times New Roman" w:hAnsi="Times New Roman" w:eastAsia="仿宋_GB2312"/>
                <w:kern w:val="0"/>
                <w:sz w:val="20"/>
              </w:rPr>
              <w:t>累计产气：</w:t>
            </w:r>
            <w:r>
              <w:rPr>
                <w:rFonts w:ascii="Times New Roman" w:hAnsi="Times New Roman" w:eastAsia="仿宋_GB2312"/>
                <w:kern w:val="0"/>
                <w:sz w:val="20"/>
              </w:rPr>
              <w:t xml:space="preserve">         10</w:t>
            </w:r>
            <w:r>
              <w:rPr>
                <w:rFonts w:ascii="Times New Roman" w:hAnsi="Times New Roman" w:eastAsia="仿宋_GB2312"/>
                <w:kern w:val="0"/>
                <w:sz w:val="20"/>
                <w:vertAlign w:val="superscript"/>
              </w:rPr>
              <w:t>8</w:t>
            </w:r>
            <w:r>
              <w:rPr>
                <w:rFonts w:ascii="Times New Roman" w:hAnsi="Times New Roman" w:eastAsia="仿宋_GB2312"/>
                <w:kern w:val="0"/>
                <w:sz w:val="20"/>
              </w:rPr>
              <w:t>m</w:t>
            </w:r>
            <w:r>
              <w:rPr>
                <w:rFonts w:ascii="Times New Roman" w:hAnsi="Times New Roman" w:eastAsia="仿宋_GB2312"/>
                <w:kern w:val="0"/>
                <w:sz w:val="20"/>
                <w:vertAlign w:val="superscript"/>
              </w:rPr>
              <w:t>3</w:t>
            </w:r>
          </w:p>
        </w:tc>
      </w:tr>
    </w:tbl>
    <w:p>
      <w:pPr>
        <w:jc w:val="center"/>
        <w:rPr>
          <w:rFonts w:eastAsia="仿宋_GB2312"/>
          <w:b/>
          <w:sz w:val="20"/>
        </w:rPr>
      </w:pPr>
      <w:r>
        <w:rPr>
          <w:rFonts w:hint="eastAsia"/>
          <w:b/>
          <w:sz w:val="20"/>
        </w:rPr>
        <w:br w:type="page"/>
      </w:r>
    </w:p>
    <w:p>
      <w:pPr>
        <w:jc w:val="center"/>
        <w:rPr>
          <w:sz w:val="20"/>
        </w:rPr>
      </w:pPr>
    </w:p>
    <w:tbl>
      <w:tblPr>
        <w:tblStyle w:val="1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310"/>
        <w:gridCol w:w="473"/>
        <w:gridCol w:w="359"/>
        <w:gridCol w:w="546"/>
        <w:gridCol w:w="203"/>
        <w:gridCol w:w="549"/>
        <w:gridCol w:w="410"/>
        <w:gridCol w:w="461"/>
        <w:gridCol w:w="413"/>
        <w:gridCol w:w="499"/>
        <w:gridCol w:w="169"/>
        <w:gridCol w:w="311"/>
        <w:gridCol w:w="793"/>
        <w:gridCol w:w="412"/>
        <w:gridCol w:w="107"/>
        <w:gridCol w:w="524"/>
        <w:gridCol w:w="751"/>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59" w:type="dxa"/>
            <w:gridSpan w:val="19"/>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b/>
                <w:sz w:val="20"/>
              </w:rPr>
              <w:t>矿产资源储量（6）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34" w:type="dxa"/>
            <w:vMerge w:val="restart"/>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矿产</w:t>
            </w:r>
          </w:p>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名称</w:t>
            </w:r>
          </w:p>
        </w:tc>
        <w:tc>
          <w:tcPr>
            <w:tcW w:w="783" w:type="dxa"/>
            <w:gridSpan w:val="2"/>
            <w:vMerge w:val="restart"/>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单位</w:t>
            </w:r>
          </w:p>
        </w:tc>
        <w:tc>
          <w:tcPr>
            <w:tcW w:w="1657" w:type="dxa"/>
            <w:gridSpan w:val="4"/>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探明地质储量</w:t>
            </w:r>
          </w:p>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增（+）减（-）</w:t>
            </w:r>
          </w:p>
        </w:tc>
        <w:tc>
          <w:tcPr>
            <w:tcW w:w="1783" w:type="dxa"/>
            <w:gridSpan w:val="4"/>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探明技术可采储量</w:t>
            </w:r>
          </w:p>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增（+）减（-）</w:t>
            </w:r>
          </w:p>
        </w:tc>
        <w:tc>
          <w:tcPr>
            <w:tcW w:w="1685" w:type="dxa"/>
            <w:gridSpan w:val="4"/>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探明经济可采储量</w:t>
            </w:r>
          </w:p>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增（+）减（-）</w:t>
            </w:r>
          </w:p>
        </w:tc>
        <w:tc>
          <w:tcPr>
            <w:tcW w:w="2017" w:type="dxa"/>
            <w:gridSpan w:val="4"/>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探明剩余经济可采储量</w:t>
            </w:r>
          </w:p>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34" w:type="dxa"/>
            <w:vMerge w:val="continue"/>
          </w:tcPr>
          <w:p>
            <w:pPr>
              <w:adjustRightInd w:val="0"/>
              <w:snapToGrid w:val="0"/>
              <w:ind w:left="-113" w:right="-113"/>
              <w:jc w:val="center"/>
              <w:rPr>
                <w:rFonts w:ascii="Times New Roman" w:hAnsi="Times New Roman" w:eastAsia="仿宋_GB2312" w:cs="仿宋_GB2312"/>
                <w:b/>
                <w:bCs/>
                <w:sz w:val="20"/>
              </w:rPr>
            </w:pPr>
          </w:p>
        </w:tc>
        <w:tc>
          <w:tcPr>
            <w:tcW w:w="783" w:type="dxa"/>
            <w:gridSpan w:val="2"/>
            <w:vMerge w:val="continue"/>
          </w:tcPr>
          <w:p>
            <w:pPr>
              <w:adjustRightInd w:val="0"/>
              <w:snapToGrid w:val="0"/>
              <w:ind w:left="-113" w:right="-113"/>
              <w:jc w:val="center"/>
              <w:rPr>
                <w:rFonts w:ascii="Times New Roman" w:hAnsi="Times New Roman" w:eastAsia="仿宋_GB2312" w:cs="仿宋_GB2312"/>
                <w:b/>
                <w:bCs/>
                <w:sz w:val="20"/>
              </w:rPr>
            </w:pPr>
          </w:p>
        </w:tc>
        <w:tc>
          <w:tcPr>
            <w:tcW w:w="359" w:type="dxa"/>
            <w:vAlign w:val="center"/>
          </w:tcPr>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新增</w:t>
            </w:r>
          </w:p>
        </w:tc>
        <w:tc>
          <w:tcPr>
            <w:tcW w:w="749" w:type="dxa"/>
            <w:gridSpan w:val="2"/>
            <w:vAlign w:val="center"/>
          </w:tcPr>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复/核算增减</w:t>
            </w:r>
          </w:p>
        </w:tc>
        <w:tc>
          <w:tcPr>
            <w:tcW w:w="549" w:type="dxa"/>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净增</w:t>
            </w:r>
          </w:p>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合计</w:t>
            </w:r>
          </w:p>
        </w:tc>
        <w:tc>
          <w:tcPr>
            <w:tcW w:w="410" w:type="dxa"/>
            <w:vAlign w:val="center"/>
          </w:tcPr>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新增</w:t>
            </w:r>
          </w:p>
        </w:tc>
        <w:tc>
          <w:tcPr>
            <w:tcW w:w="874" w:type="dxa"/>
            <w:gridSpan w:val="2"/>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复/核算/标定</w:t>
            </w:r>
          </w:p>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增减</w:t>
            </w:r>
          </w:p>
        </w:tc>
        <w:tc>
          <w:tcPr>
            <w:tcW w:w="499" w:type="dxa"/>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净增</w:t>
            </w:r>
          </w:p>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合计</w:t>
            </w:r>
          </w:p>
        </w:tc>
        <w:tc>
          <w:tcPr>
            <w:tcW w:w="480" w:type="dxa"/>
            <w:gridSpan w:val="2"/>
            <w:vAlign w:val="center"/>
          </w:tcPr>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新增</w:t>
            </w:r>
          </w:p>
        </w:tc>
        <w:tc>
          <w:tcPr>
            <w:tcW w:w="793" w:type="dxa"/>
            <w:vAlign w:val="center"/>
          </w:tcPr>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复/核算/标定增减</w:t>
            </w:r>
          </w:p>
        </w:tc>
        <w:tc>
          <w:tcPr>
            <w:tcW w:w="412" w:type="dxa"/>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净增</w:t>
            </w:r>
          </w:p>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合计</w:t>
            </w:r>
          </w:p>
        </w:tc>
        <w:tc>
          <w:tcPr>
            <w:tcW w:w="631" w:type="dxa"/>
            <w:gridSpan w:val="2"/>
            <w:vAlign w:val="center"/>
          </w:tcPr>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新增</w:t>
            </w:r>
          </w:p>
        </w:tc>
        <w:tc>
          <w:tcPr>
            <w:tcW w:w="751" w:type="dxa"/>
            <w:vAlign w:val="center"/>
          </w:tcPr>
          <w:p>
            <w:pPr>
              <w:adjustRightInd w:val="0"/>
              <w:snapToGrid w:val="0"/>
              <w:ind w:left="-113" w:right="-113"/>
              <w:jc w:val="center"/>
              <w:rPr>
                <w:rFonts w:ascii="Times New Roman" w:hAnsi="Times New Roman" w:eastAsia="仿宋_GB2312" w:cs="仿宋_GB2312"/>
                <w:sz w:val="20"/>
              </w:rPr>
            </w:pPr>
            <w:r>
              <w:rPr>
                <w:rFonts w:hint="eastAsia" w:ascii="Times New Roman" w:hAnsi="Times New Roman" w:eastAsia="仿宋_GB2312" w:cs="仿宋_GB2312"/>
                <w:b/>
                <w:bCs/>
                <w:sz w:val="20"/>
              </w:rPr>
              <w:t>复/核算/标定增减</w:t>
            </w:r>
          </w:p>
        </w:tc>
        <w:tc>
          <w:tcPr>
            <w:tcW w:w="635" w:type="dxa"/>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净增</w:t>
            </w:r>
          </w:p>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b/>
                <w:bCs/>
                <w:sz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34" w:type="dxa"/>
            <w:vMerge w:val="restart"/>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sz w:val="20"/>
              </w:rPr>
              <w:t>原油</w:t>
            </w:r>
          </w:p>
        </w:tc>
        <w:tc>
          <w:tcPr>
            <w:tcW w:w="783" w:type="dxa"/>
            <w:gridSpan w:val="2"/>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sz w:val="20"/>
              </w:rPr>
              <w:t>万吨</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4" w:type="dxa"/>
            <w:vMerge w:val="continue"/>
            <w:vAlign w:val="center"/>
          </w:tcPr>
          <w:p>
            <w:pPr>
              <w:adjustRightInd w:val="0"/>
              <w:snapToGrid w:val="0"/>
              <w:ind w:left="-113" w:right="-113"/>
              <w:jc w:val="center"/>
              <w:rPr>
                <w:rFonts w:ascii="Times New Roman" w:hAnsi="Times New Roman" w:eastAsia="仿宋_GB2312" w:cs="仿宋_GB2312"/>
                <w:b/>
                <w:bCs/>
                <w:sz w:val="20"/>
              </w:rPr>
            </w:pPr>
          </w:p>
        </w:tc>
        <w:tc>
          <w:tcPr>
            <w:tcW w:w="783" w:type="dxa"/>
            <w:gridSpan w:val="2"/>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sz w:val="20"/>
              </w:rPr>
              <w:t>万立方米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34" w:type="dxa"/>
            <w:vMerge w:val="restart"/>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凝析油</w:t>
            </w:r>
          </w:p>
        </w:tc>
        <w:tc>
          <w:tcPr>
            <w:tcW w:w="783" w:type="dxa"/>
            <w:gridSpan w:val="2"/>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sz w:val="20"/>
              </w:rPr>
              <w:t>万吨</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4" w:type="dxa"/>
            <w:vMerge w:val="continue"/>
            <w:vAlign w:val="center"/>
          </w:tcPr>
          <w:p>
            <w:pPr>
              <w:adjustRightInd w:val="0"/>
              <w:snapToGrid w:val="0"/>
              <w:jc w:val="center"/>
              <w:rPr>
                <w:rFonts w:ascii="Times New Roman" w:hAnsi="Times New Roman" w:eastAsia="仿宋_GB2312" w:cs="仿宋_GB2312"/>
                <w:sz w:val="20"/>
              </w:rPr>
            </w:pPr>
          </w:p>
        </w:tc>
        <w:tc>
          <w:tcPr>
            <w:tcW w:w="783" w:type="dxa"/>
            <w:gridSpan w:val="2"/>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cs="仿宋_GB2312"/>
                <w:sz w:val="20"/>
              </w:rPr>
              <w:t>万立方米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4" w:type="dxa"/>
            <w:vAlign w:val="center"/>
          </w:tcPr>
          <w:p>
            <w:pPr>
              <w:adjustRightInd w:val="0"/>
              <w:snapToGrid w:val="0"/>
              <w:jc w:val="center"/>
              <w:rPr>
                <w:rFonts w:ascii="Times New Roman" w:hAnsi="Times New Roman" w:eastAsia="仿宋_GB2312" w:cs="仿宋_GB2312"/>
                <w:b/>
                <w:bCs/>
                <w:sz w:val="20"/>
              </w:rPr>
            </w:pPr>
            <w:r>
              <w:rPr>
                <w:rFonts w:hint="eastAsia" w:ascii="Times New Roman" w:hAnsi="Times New Roman" w:eastAsia="仿宋_GB2312" w:cs="仿宋_GB2312"/>
                <w:sz w:val="20"/>
              </w:rPr>
              <w:t>气层气</w:t>
            </w:r>
          </w:p>
        </w:tc>
        <w:tc>
          <w:tcPr>
            <w:tcW w:w="783" w:type="dxa"/>
            <w:gridSpan w:val="2"/>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亿立方米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4" w:type="dxa"/>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溶解气</w:t>
            </w:r>
          </w:p>
        </w:tc>
        <w:tc>
          <w:tcPr>
            <w:tcW w:w="783" w:type="dxa"/>
            <w:gridSpan w:val="2"/>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亿立方米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4" w:type="dxa"/>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煤层气</w:t>
            </w:r>
          </w:p>
        </w:tc>
        <w:tc>
          <w:tcPr>
            <w:tcW w:w="783" w:type="dxa"/>
            <w:gridSpan w:val="2"/>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亿立方米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4" w:type="dxa"/>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页岩气</w:t>
            </w:r>
          </w:p>
        </w:tc>
        <w:tc>
          <w:tcPr>
            <w:tcW w:w="783" w:type="dxa"/>
            <w:gridSpan w:val="2"/>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亿立方米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34" w:type="dxa"/>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二氧化碳气</w:t>
            </w:r>
          </w:p>
        </w:tc>
        <w:tc>
          <w:tcPr>
            <w:tcW w:w="783" w:type="dxa"/>
            <w:gridSpan w:val="2"/>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亿立方米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34" w:type="dxa"/>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氦气</w:t>
            </w:r>
          </w:p>
        </w:tc>
        <w:tc>
          <w:tcPr>
            <w:tcW w:w="783" w:type="dxa"/>
            <w:gridSpan w:val="2"/>
            <w:vAlign w:val="center"/>
          </w:tcPr>
          <w:p>
            <w:pPr>
              <w:adjustRightInd w:val="0"/>
              <w:snapToGrid w:val="0"/>
              <w:jc w:val="center"/>
              <w:rPr>
                <w:rFonts w:ascii="Times New Roman" w:hAnsi="Times New Roman" w:eastAsia="仿宋_GB2312" w:cs="仿宋_GB2312"/>
                <w:sz w:val="20"/>
              </w:rPr>
            </w:pPr>
            <w:r>
              <w:rPr>
                <w:rFonts w:hint="eastAsia" w:ascii="Times New Roman" w:hAnsi="Times New Roman" w:eastAsia="仿宋_GB2312" w:cs="仿宋_GB2312"/>
                <w:sz w:val="20"/>
              </w:rPr>
              <w:t>万立方米</w:t>
            </w:r>
          </w:p>
        </w:tc>
        <w:tc>
          <w:tcPr>
            <w:tcW w:w="359" w:type="dxa"/>
            <w:vAlign w:val="center"/>
          </w:tcPr>
          <w:p>
            <w:pPr>
              <w:adjustRightInd w:val="0"/>
              <w:snapToGrid w:val="0"/>
              <w:jc w:val="left"/>
              <w:rPr>
                <w:rFonts w:ascii="Times New Roman" w:hAnsi="Times New Roman" w:eastAsia="仿宋_GB2312" w:cs="仿宋_GB2312"/>
                <w:b/>
                <w:bCs/>
                <w:sz w:val="20"/>
              </w:rPr>
            </w:pPr>
          </w:p>
        </w:tc>
        <w:tc>
          <w:tcPr>
            <w:tcW w:w="749" w:type="dxa"/>
            <w:gridSpan w:val="2"/>
            <w:vAlign w:val="center"/>
          </w:tcPr>
          <w:p>
            <w:pPr>
              <w:adjustRightInd w:val="0"/>
              <w:snapToGrid w:val="0"/>
              <w:jc w:val="left"/>
              <w:rPr>
                <w:rFonts w:ascii="Times New Roman" w:hAnsi="Times New Roman" w:eastAsia="仿宋_GB2312" w:cs="仿宋_GB2312"/>
                <w:b/>
                <w:bCs/>
                <w:sz w:val="20"/>
              </w:rPr>
            </w:pPr>
          </w:p>
        </w:tc>
        <w:tc>
          <w:tcPr>
            <w:tcW w:w="549" w:type="dxa"/>
            <w:vAlign w:val="center"/>
          </w:tcPr>
          <w:p>
            <w:pPr>
              <w:adjustRightInd w:val="0"/>
              <w:snapToGrid w:val="0"/>
              <w:jc w:val="left"/>
              <w:rPr>
                <w:rFonts w:ascii="Times New Roman" w:hAnsi="Times New Roman" w:eastAsia="仿宋_GB2312" w:cs="仿宋_GB2312"/>
                <w:b/>
                <w:bCs/>
                <w:sz w:val="20"/>
              </w:rPr>
            </w:pPr>
          </w:p>
        </w:tc>
        <w:tc>
          <w:tcPr>
            <w:tcW w:w="410" w:type="dxa"/>
            <w:vAlign w:val="center"/>
          </w:tcPr>
          <w:p>
            <w:pPr>
              <w:adjustRightInd w:val="0"/>
              <w:snapToGrid w:val="0"/>
              <w:jc w:val="left"/>
              <w:rPr>
                <w:rFonts w:ascii="Times New Roman" w:hAnsi="Times New Roman" w:eastAsia="仿宋_GB2312" w:cs="仿宋_GB2312"/>
                <w:b/>
                <w:bCs/>
                <w:sz w:val="20"/>
              </w:rPr>
            </w:pPr>
          </w:p>
        </w:tc>
        <w:tc>
          <w:tcPr>
            <w:tcW w:w="874" w:type="dxa"/>
            <w:gridSpan w:val="2"/>
            <w:vAlign w:val="center"/>
          </w:tcPr>
          <w:p>
            <w:pPr>
              <w:adjustRightInd w:val="0"/>
              <w:snapToGrid w:val="0"/>
              <w:jc w:val="left"/>
              <w:rPr>
                <w:rFonts w:ascii="Times New Roman" w:hAnsi="Times New Roman" w:eastAsia="仿宋_GB2312" w:cs="仿宋_GB2312"/>
                <w:b/>
                <w:bCs/>
                <w:sz w:val="20"/>
              </w:rPr>
            </w:pPr>
          </w:p>
        </w:tc>
        <w:tc>
          <w:tcPr>
            <w:tcW w:w="499" w:type="dxa"/>
            <w:vAlign w:val="center"/>
          </w:tcPr>
          <w:p>
            <w:pPr>
              <w:adjustRightInd w:val="0"/>
              <w:snapToGrid w:val="0"/>
              <w:jc w:val="left"/>
              <w:rPr>
                <w:rFonts w:ascii="Times New Roman" w:hAnsi="Times New Roman" w:eastAsia="仿宋_GB2312" w:cs="仿宋_GB2312"/>
                <w:b/>
                <w:bCs/>
                <w:sz w:val="20"/>
              </w:rPr>
            </w:pPr>
          </w:p>
        </w:tc>
        <w:tc>
          <w:tcPr>
            <w:tcW w:w="480" w:type="dxa"/>
            <w:gridSpan w:val="2"/>
            <w:vAlign w:val="center"/>
          </w:tcPr>
          <w:p>
            <w:pPr>
              <w:adjustRightInd w:val="0"/>
              <w:snapToGrid w:val="0"/>
              <w:jc w:val="left"/>
              <w:rPr>
                <w:rFonts w:ascii="Times New Roman" w:hAnsi="Times New Roman" w:eastAsia="仿宋_GB2312" w:cs="仿宋_GB2312"/>
                <w:b/>
                <w:bCs/>
                <w:sz w:val="20"/>
              </w:rPr>
            </w:pPr>
          </w:p>
        </w:tc>
        <w:tc>
          <w:tcPr>
            <w:tcW w:w="793" w:type="dxa"/>
          </w:tcPr>
          <w:p>
            <w:pPr>
              <w:adjustRightInd w:val="0"/>
              <w:snapToGrid w:val="0"/>
              <w:jc w:val="left"/>
              <w:rPr>
                <w:rFonts w:ascii="Times New Roman" w:hAnsi="Times New Roman" w:eastAsia="仿宋_GB2312" w:cs="仿宋_GB2312"/>
                <w:b/>
                <w:bCs/>
                <w:sz w:val="20"/>
              </w:rPr>
            </w:pPr>
          </w:p>
        </w:tc>
        <w:tc>
          <w:tcPr>
            <w:tcW w:w="412" w:type="dxa"/>
          </w:tcPr>
          <w:p>
            <w:pPr>
              <w:adjustRightInd w:val="0"/>
              <w:snapToGrid w:val="0"/>
              <w:jc w:val="left"/>
              <w:rPr>
                <w:rFonts w:ascii="Times New Roman" w:hAnsi="Times New Roman" w:eastAsia="仿宋_GB2312" w:cs="仿宋_GB2312"/>
                <w:b/>
                <w:bCs/>
                <w:sz w:val="20"/>
              </w:rPr>
            </w:pPr>
          </w:p>
        </w:tc>
        <w:tc>
          <w:tcPr>
            <w:tcW w:w="631" w:type="dxa"/>
            <w:gridSpan w:val="2"/>
            <w:vAlign w:val="center"/>
          </w:tcPr>
          <w:p>
            <w:pPr>
              <w:adjustRightInd w:val="0"/>
              <w:snapToGrid w:val="0"/>
              <w:jc w:val="left"/>
              <w:rPr>
                <w:rFonts w:ascii="Times New Roman" w:hAnsi="Times New Roman" w:eastAsia="仿宋_GB2312" w:cs="仿宋_GB2312"/>
                <w:b/>
                <w:bCs/>
                <w:sz w:val="20"/>
              </w:rPr>
            </w:pPr>
          </w:p>
        </w:tc>
        <w:tc>
          <w:tcPr>
            <w:tcW w:w="751" w:type="dxa"/>
            <w:vAlign w:val="center"/>
          </w:tcPr>
          <w:p>
            <w:pPr>
              <w:adjustRightInd w:val="0"/>
              <w:snapToGrid w:val="0"/>
              <w:jc w:val="left"/>
              <w:rPr>
                <w:rFonts w:ascii="Times New Roman" w:hAnsi="Times New Roman" w:eastAsia="仿宋_GB2312" w:cs="仿宋_GB2312"/>
                <w:b/>
                <w:bCs/>
                <w:sz w:val="20"/>
              </w:rPr>
            </w:pPr>
          </w:p>
        </w:tc>
        <w:tc>
          <w:tcPr>
            <w:tcW w:w="635" w:type="dxa"/>
            <w:vAlign w:val="center"/>
          </w:tcPr>
          <w:p>
            <w:pPr>
              <w:adjustRightInd w:val="0"/>
              <w:snapToGrid w:val="0"/>
              <w:jc w:val="left"/>
              <w:rPr>
                <w:rFonts w:ascii="Times New Roman" w:hAnsi="Times New Roman"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559" w:type="dxa"/>
            <w:gridSpan w:val="19"/>
            <w:vAlign w:val="center"/>
          </w:tcPr>
          <w:p>
            <w:pPr>
              <w:adjustRightInd w:val="0"/>
              <w:snapToGrid w:val="0"/>
              <w:ind w:left="-113" w:right="-113"/>
              <w:jc w:val="center"/>
              <w:rPr>
                <w:rFonts w:ascii="Times New Roman" w:hAnsi="Times New Roman" w:eastAsia="仿宋_GB2312"/>
                <w:b/>
                <w:sz w:val="20"/>
              </w:rPr>
            </w:pPr>
            <w:r>
              <w:rPr>
                <w:rFonts w:hint="eastAsia" w:ascii="Times New Roman" w:hAnsi="Times New Roman" w:eastAsia="仿宋_GB2312" w:cs="仿宋_GB2312"/>
                <w:b/>
                <w:bCs/>
                <w:sz w:val="20"/>
              </w:rPr>
              <w:t>矿产资源储量估算范围的拐点坐标、标高、面积及示意图（7）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559" w:type="dxa"/>
            <w:gridSpan w:val="19"/>
            <w:vAlign w:val="center"/>
          </w:tcPr>
          <w:p>
            <w:pPr>
              <w:adjustRightInd w:val="0"/>
              <w:snapToGrid w:val="0"/>
              <w:ind w:left="-113" w:right="-113"/>
              <w:jc w:val="center"/>
              <w:rPr>
                <w:rFonts w:ascii="Times New Roman" w:hAnsi="Times New Roman" w:eastAsia="仿宋_GB2312" w:cs="仿宋_GB2312"/>
                <w:b/>
                <w:bCs/>
                <w:sz w:val="20"/>
              </w:rPr>
            </w:pPr>
            <w:r>
              <w:rPr>
                <w:rFonts w:hint="eastAsia" w:ascii="Times New Roman" w:hAnsi="Times New Roman" w:eastAsia="仿宋_GB2312"/>
                <w:sz w:val="20"/>
                <w:szCs w:val="21"/>
              </w:rPr>
              <w:t>坐标格式类型（2000国家大地坐标系）：经纬度坐标□平面直角坐标□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8559" w:type="dxa"/>
            <w:gridSpan w:val="19"/>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cs="仿宋_GB2312"/>
                <w:sz w:val="20"/>
              </w:rPr>
              <w:t>矿产资源储量估算范围拐点坐标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序号</w:t>
            </w:r>
          </w:p>
        </w:tc>
        <w:tc>
          <w:tcPr>
            <w:tcW w:w="1378" w:type="dxa"/>
            <w:gridSpan w:val="3"/>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纬度（Ｘ）</w:t>
            </w:r>
          </w:p>
        </w:tc>
        <w:tc>
          <w:tcPr>
            <w:tcW w:w="1623" w:type="dxa"/>
            <w:gridSpan w:val="4"/>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经度（Ｙ）</w:t>
            </w:r>
          </w:p>
        </w:tc>
        <w:tc>
          <w:tcPr>
            <w:tcW w:w="1081" w:type="dxa"/>
            <w:gridSpan w:val="3"/>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序号</w:t>
            </w:r>
          </w:p>
        </w:tc>
        <w:tc>
          <w:tcPr>
            <w:tcW w:w="1623" w:type="dxa"/>
            <w:gridSpan w:val="4"/>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纬度（Ｘ）</w:t>
            </w:r>
          </w:p>
        </w:tc>
        <w:tc>
          <w:tcPr>
            <w:tcW w:w="1910" w:type="dxa"/>
            <w:gridSpan w:val="3"/>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经度（Ｙ）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1</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1</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2</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2</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3</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3</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4</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4</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5</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5</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6</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6</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7</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7</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8</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8</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9</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1</w:t>
            </w:r>
            <w:r>
              <w:rPr>
                <w:rFonts w:hint="eastAsia" w:ascii="Times New Roman" w:hAnsi="Times New Roman" w:eastAsia="仿宋_GB2312"/>
                <w:sz w:val="20"/>
              </w:rPr>
              <w:t>9</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944" w:type="dxa"/>
            <w:gridSpan w:val="2"/>
            <w:vAlign w:val="center"/>
          </w:tcPr>
          <w:p>
            <w:pPr>
              <w:adjustRightInd w:val="0"/>
              <w:snapToGrid w:val="0"/>
              <w:jc w:val="center"/>
              <w:rPr>
                <w:rFonts w:ascii="Times New Roman" w:hAnsi="Times New Roman" w:eastAsia="仿宋_GB2312"/>
                <w:sz w:val="20"/>
              </w:rPr>
            </w:pPr>
            <w:r>
              <w:rPr>
                <w:rFonts w:hint="eastAsia" w:ascii="Times New Roman" w:hAnsi="Times New Roman" w:eastAsia="仿宋_GB2312"/>
                <w:sz w:val="20"/>
              </w:rPr>
              <w:t>10</w:t>
            </w:r>
          </w:p>
        </w:tc>
        <w:tc>
          <w:tcPr>
            <w:tcW w:w="1378" w:type="dxa"/>
            <w:gridSpan w:val="3"/>
            <w:vAlign w:val="center"/>
          </w:tcPr>
          <w:p>
            <w:pPr>
              <w:adjustRightInd w:val="0"/>
              <w:snapToGrid w:val="0"/>
              <w:jc w:val="center"/>
              <w:rPr>
                <w:rFonts w:ascii="Times New Roman" w:hAnsi="Times New Roman" w:eastAsia="仿宋_GB2312"/>
                <w:sz w:val="20"/>
              </w:rPr>
            </w:pPr>
          </w:p>
        </w:tc>
        <w:tc>
          <w:tcPr>
            <w:tcW w:w="1623" w:type="dxa"/>
            <w:gridSpan w:val="4"/>
            <w:vAlign w:val="center"/>
          </w:tcPr>
          <w:p>
            <w:pPr>
              <w:adjustRightInd w:val="0"/>
              <w:snapToGrid w:val="0"/>
              <w:jc w:val="center"/>
              <w:rPr>
                <w:rFonts w:ascii="Times New Roman" w:hAnsi="Times New Roman" w:eastAsia="仿宋_GB2312"/>
                <w:sz w:val="20"/>
              </w:rPr>
            </w:pPr>
          </w:p>
        </w:tc>
        <w:tc>
          <w:tcPr>
            <w:tcW w:w="1081" w:type="dxa"/>
            <w:gridSpan w:val="3"/>
            <w:vAlign w:val="center"/>
          </w:tcPr>
          <w:p>
            <w:pPr>
              <w:adjustRightInd w:val="0"/>
              <w:snapToGrid w:val="0"/>
              <w:jc w:val="center"/>
              <w:rPr>
                <w:rFonts w:ascii="Times New Roman" w:hAnsi="Times New Roman" w:eastAsia="仿宋_GB2312"/>
                <w:sz w:val="20"/>
              </w:rPr>
            </w:pPr>
            <w:r>
              <w:rPr>
                <w:rFonts w:ascii="Times New Roman" w:hAnsi="Times New Roman" w:eastAsia="仿宋_GB2312"/>
                <w:sz w:val="20"/>
              </w:rPr>
              <w:t>2</w:t>
            </w:r>
            <w:r>
              <w:rPr>
                <w:rFonts w:hint="eastAsia" w:ascii="Times New Roman" w:hAnsi="Times New Roman" w:eastAsia="仿宋_GB2312"/>
                <w:sz w:val="20"/>
              </w:rPr>
              <w:t>0</w:t>
            </w:r>
          </w:p>
        </w:tc>
        <w:tc>
          <w:tcPr>
            <w:tcW w:w="1623" w:type="dxa"/>
            <w:gridSpan w:val="4"/>
            <w:vAlign w:val="center"/>
          </w:tcPr>
          <w:p>
            <w:pPr>
              <w:adjustRightInd w:val="0"/>
              <w:snapToGrid w:val="0"/>
              <w:jc w:val="center"/>
              <w:rPr>
                <w:rFonts w:ascii="Times New Roman" w:hAnsi="Times New Roman" w:eastAsia="仿宋_GB2312"/>
                <w:sz w:val="20"/>
              </w:rPr>
            </w:pPr>
          </w:p>
        </w:tc>
        <w:tc>
          <w:tcPr>
            <w:tcW w:w="1910" w:type="dxa"/>
            <w:gridSpan w:val="3"/>
            <w:vAlign w:val="center"/>
          </w:tcPr>
          <w:p>
            <w:pPr>
              <w:adjustRightInd w:val="0"/>
              <w:snapToGrid w:val="0"/>
              <w:jc w:val="center"/>
              <w:rPr>
                <w:rFonts w:ascii="Times New Roman" w:hAnsi="Times New Roman" w:eastAsia="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4" w:type="dxa"/>
            <w:gridSpan w:val="2"/>
            <w:vAlign w:val="center"/>
          </w:tcPr>
          <w:p>
            <w:pPr>
              <w:adjustRightInd w:val="0"/>
              <w:snapToGrid w:val="0"/>
              <w:spacing w:before="120"/>
              <w:jc w:val="center"/>
              <w:rPr>
                <w:rFonts w:ascii="Times New Roman" w:hAnsi="Times New Roman" w:eastAsia="仿宋_GB2312"/>
                <w:sz w:val="20"/>
              </w:rPr>
            </w:pPr>
            <w:r>
              <w:rPr>
                <w:rFonts w:hint="eastAsia" w:ascii="Times New Roman" w:hAnsi="Times New Roman" w:eastAsia="仿宋_GB2312" w:cs="仿宋_GB2312"/>
                <w:b/>
                <w:bCs/>
                <w:sz w:val="20"/>
              </w:rPr>
              <w:t>示意图</w:t>
            </w:r>
          </w:p>
        </w:tc>
        <w:tc>
          <w:tcPr>
            <w:tcW w:w="7615" w:type="dxa"/>
            <w:gridSpan w:val="17"/>
          </w:tcPr>
          <w:p>
            <w:pPr>
              <w:adjustRightInd w:val="0"/>
              <w:snapToGrid w:val="0"/>
              <w:spacing w:before="120"/>
              <w:rPr>
                <w:rFonts w:ascii="Times New Roman" w:hAnsi="Times New Roman" w:eastAsia="仿宋_GB2312"/>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9" w:type="dxa"/>
            <w:gridSpan w:val="19"/>
            <w:tcBorders>
              <w:bottom w:val="nil"/>
            </w:tcBorders>
          </w:tcPr>
          <w:p>
            <w:pPr>
              <w:adjustRightInd w:val="0"/>
              <w:snapToGrid w:val="0"/>
              <w:spacing w:before="120"/>
              <w:rPr>
                <w:rFonts w:ascii="Times New Roman" w:hAnsi="Times New Roman" w:eastAsia="仿宋_GB2312"/>
                <w:sz w:val="20"/>
              </w:rPr>
            </w:pPr>
            <w:r>
              <w:rPr>
                <w:rFonts w:hint="eastAsia" w:ascii="Times New Roman" w:hAnsi="Times New Roman" w:eastAsia="仿宋_GB2312"/>
                <w:sz w:val="20"/>
              </w:rPr>
              <w:t>含油面积：                   km</w:t>
            </w:r>
            <w:r>
              <w:rPr>
                <w:rFonts w:hint="eastAsia" w:ascii="Times New Roman" w:hAnsi="Times New Roman" w:eastAsia="仿宋_GB2312"/>
                <w:sz w:val="20"/>
                <w:vertAlign w:val="superscript"/>
              </w:rPr>
              <w:t>2</w:t>
            </w:r>
            <w:r>
              <w:rPr>
                <w:rFonts w:hint="eastAsia" w:ascii="Times New Roman" w:hAnsi="Times New Roman" w:eastAsia="仿宋_GB2312"/>
                <w:sz w:val="20"/>
              </w:rPr>
              <w:t>含气面积：                   km</w:t>
            </w:r>
            <w:r>
              <w:rPr>
                <w:rFonts w:hint="eastAsia" w:ascii="Times New Roman" w:hAnsi="Times New Roman" w:eastAsia="仿宋_GB2312"/>
                <w:sz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559" w:type="dxa"/>
            <w:gridSpan w:val="19"/>
            <w:tcBorders>
              <w:top w:val="nil"/>
            </w:tcBorders>
          </w:tcPr>
          <w:p>
            <w:pPr>
              <w:adjustRightInd w:val="0"/>
              <w:snapToGrid w:val="0"/>
              <w:spacing w:before="120"/>
              <w:rPr>
                <w:rFonts w:ascii="Times New Roman" w:hAnsi="Times New Roman" w:eastAsia="仿宋_GB2312"/>
                <w:sz w:val="20"/>
              </w:rPr>
            </w:pPr>
            <w:r>
              <w:rPr>
                <w:rFonts w:hint="eastAsia" w:ascii="Times New Roman" w:hAnsi="Times New Roman" w:eastAsia="仿宋_GB2312"/>
                <w:sz w:val="20"/>
              </w:rPr>
              <w:t>标高：</w:t>
            </w:r>
            <w:r>
              <w:rPr>
                <w:rFonts w:ascii="Times New Roman" w:hAnsi="Times New Roman" w:eastAsia="仿宋_GB2312"/>
                <w:sz w:val="20"/>
              </w:rPr>
              <w:t xml:space="preserve">        m   </w:t>
            </w:r>
            <w:r>
              <w:rPr>
                <w:rFonts w:hint="eastAsia" w:ascii="Times New Roman" w:hAnsi="Times New Roman" w:eastAsia="仿宋_GB2312"/>
                <w:sz w:val="20"/>
              </w:rPr>
              <w:t>～</w:t>
            </w:r>
            <w:r>
              <w:rPr>
                <w:rFonts w:ascii="Times New Roman" w:hAnsi="Times New Roman" w:eastAsia="仿宋_GB2312"/>
                <w:sz w:val="20"/>
              </w:rPr>
              <w:t xml:space="preserve">           m</w:t>
            </w:r>
          </w:p>
        </w:tc>
      </w:tr>
    </w:tbl>
    <w:p>
      <w:pPr>
        <w:pStyle w:val="2"/>
        <w:snapToGrid w:val="0"/>
        <w:spacing w:before="0" w:after="0" w:line="240" w:lineRule="auto"/>
        <w:ind w:left="0" w:leftChars="0" w:right="0" w:rightChars="0"/>
        <w:rPr>
          <w:rFonts w:hint="eastAsia" w:ascii="方正小标宋_GBK" w:hAnsi="方正小标宋_GBK" w:eastAsia="方正小标宋_GBK" w:cs="方正小标宋_GBK"/>
          <w:sz w:val="28"/>
          <w:szCs w:val="18"/>
        </w:rPr>
      </w:pPr>
      <w:r>
        <w:br w:type="page"/>
      </w:r>
      <w:r>
        <w:rPr>
          <w:rFonts w:hint="eastAsia" w:ascii="方正小标宋_GBK" w:hAnsi="方正小标宋_GBK" w:eastAsia="方正小标宋_GBK" w:cs="方正小标宋_GBK"/>
          <w:sz w:val="28"/>
          <w:szCs w:val="18"/>
        </w:rPr>
        <w:t>XXXX年度油气矿产资源储量结算统计信息表</w:t>
      </w:r>
    </w:p>
    <w:p>
      <w:pPr>
        <w:pStyle w:val="2"/>
        <w:snapToGrid w:val="0"/>
        <w:spacing w:before="0" w:after="0" w:line="240" w:lineRule="auto"/>
        <w:ind w:left="0" w:leftChars="0" w:right="0" w:rightChars="0"/>
        <w:rPr>
          <w:rFonts w:ascii="黑体" w:hAnsi="黑体" w:eastAsia="黑体" w:cs="黑体"/>
          <w:sz w:val="28"/>
          <w:szCs w:val="18"/>
        </w:rPr>
      </w:pPr>
      <w:r>
        <w:rPr>
          <w:rFonts w:hint="eastAsia" w:ascii="方正小标宋_GBK" w:hAnsi="方正小标宋_GBK" w:eastAsia="方正小标宋_GBK" w:cs="方正小标宋_GBK"/>
          <w:sz w:val="28"/>
          <w:szCs w:val="18"/>
        </w:rPr>
        <w:t>填写说明</w:t>
      </w:r>
    </w:p>
    <w:p>
      <w:pPr>
        <w:adjustRightInd w:val="0"/>
        <w:snapToGrid w:val="0"/>
        <w:ind w:firstLine="420" w:firstLineChars="200"/>
        <w:rPr>
          <w:rFonts w:ascii="Times New Roman" w:hAnsi="Times New Roman" w:eastAsia="仿宋_GB2312"/>
          <w:sz w:val="21"/>
          <w:szCs w:val="24"/>
        </w:rPr>
      </w:pPr>
    </w:p>
    <w:p>
      <w:pPr>
        <w:adjustRightInd w:val="0"/>
        <w:snapToGrid w:val="0"/>
        <w:spacing w:line="300" w:lineRule="auto"/>
        <w:ind w:firstLine="420" w:firstLineChars="200"/>
        <w:rPr>
          <w:rFonts w:ascii="Times New Roman" w:hAnsi="Times New Roman" w:eastAsia="仿宋_GB2312" w:cs="宋体"/>
          <w:sz w:val="21"/>
          <w:szCs w:val="24"/>
        </w:rPr>
      </w:pPr>
      <w:r>
        <w:rPr>
          <w:rFonts w:ascii="Times New Roman" w:hAnsi="Times New Roman" w:eastAsia="仿宋_GB2312"/>
          <w:sz w:val="21"/>
          <w:szCs w:val="24"/>
        </w:rPr>
        <w:t>本表适用于</w:t>
      </w:r>
      <w:r>
        <w:rPr>
          <w:rFonts w:hint="eastAsia" w:ascii="Times New Roman" w:hAnsi="Times New Roman" w:eastAsia="仿宋_GB2312"/>
          <w:sz w:val="21"/>
          <w:szCs w:val="24"/>
        </w:rPr>
        <w:t>填写</w:t>
      </w:r>
      <w:r>
        <w:rPr>
          <w:rFonts w:ascii="Times New Roman" w:hAnsi="Times New Roman" w:eastAsia="仿宋_GB2312"/>
          <w:sz w:val="21"/>
          <w:szCs w:val="24"/>
        </w:rPr>
        <w:t>石油、天然气、煤层气、</w:t>
      </w:r>
      <w:r>
        <w:rPr>
          <w:rFonts w:hint="eastAsia" w:ascii="Times New Roman" w:hAnsi="Times New Roman" w:eastAsia="仿宋_GB2312"/>
          <w:sz w:val="21"/>
          <w:szCs w:val="24"/>
        </w:rPr>
        <w:t>页岩气等油气</w:t>
      </w:r>
      <w:r>
        <w:rPr>
          <w:rFonts w:ascii="Times New Roman" w:hAnsi="Times New Roman" w:eastAsia="仿宋_GB2312"/>
          <w:sz w:val="21"/>
          <w:szCs w:val="24"/>
        </w:rPr>
        <w:t>矿产</w:t>
      </w:r>
      <w:r>
        <w:rPr>
          <w:rFonts w:hint="eastAsia" w:ascii="Times New Roman" w:hAnsi="Times New Roman" w:eastAsia="仿宋_GB2312"/>
          <w:sz w:val="21"/>
          <w:szCs w:val="24"/>
        </w:rPr>
        <w:t>的矿产资源储量结算统计信息</w:t>
      </w:r>
      <w:r>
        <w:rPr>
          <w:rFonts w:ascii="Times New Roman" w:hAnsi="Times New Roman" w:eastAsia="仿宋_GB2312"/>
          <w:sz w:val="21"/>
          <w:szCs w:val="24"/>
        </w:rPr>
        <w:t>。</w:t>
      </w:r>
    </w:p>
    <w:p>
      <w:pPr>
        <w:adjustRightInd w:val="0"/>
        <w:snapToGrid w:val="0"/>
        <w:spacing w:line="300" w:lineRule="auto"/>
        <w:ind w:firstLine="422" w:firstLineChars="200"/>
        <w:rPr>
          <w:rFonts w:ascii="Times New Roman" w:hAnsi="Times New Roman" w:eastAsia="仿宋_GB2312"/>
          <w:b/>
          <w:bCs/>
          <w:sz w:val="21"/>
          <w:szCs w:val="24"/>
        </w:rPr>
      </w:pPr>
      <w:r>
        <w:rPr>
          <w:rFonts w:hint="eastAsia" w:ascii="Times New Roman" w:hAnsi="Times New Roman" w:eastAsia="仿宋_GB2312"/>
          <w:b/>
          <w:bCs/>
          <w:sz w:val="21"/>
          <w:szCs w:val="24"/>
        </w:rPr>
        <w:t>基本情况（1）：</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矿业权人：填写勘查许可证或采矿许可证上注明的探矿权人或采矿权人名称，填写法人单位的名称，以企业工商注册登记的名称为准。</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分（子）公司：填写油气田所属的探矿权人、采矿权人的分（子）公司的全称。</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通讯地址：填写分（子）公司的详细通讯地址。</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矿业权证号：填写本次储量结算所涉及到的矿业权的号码。</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矿业权有效期：填写本次储量结算所涉及到的矿业权的截止时间。</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矿业权类型：填写本次储量结算所涉及到的矿业权类型，探矿权或者或采矿权。</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油气田名称：按经评审通过的报告所使用的油气田名称填写。</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油气田编号：按国家统一给定的油气田编号填写，初次探明储量的油气田由矿产资源储量管理机关填写。</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所在行政区：填写陆上油气田或含油气区的中心点所在省（自治区、直辖市）的名称。海上油气田或含油气区填写该油气田或含油气区所在海域的名称。</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油气田代表井坐标：填写油气田本次储量结算代表井</w:t>
      </w:r>
      <w:r>
        <w:rPr>
          <w:rFonts w:ascii="Times New Roman" w:hAnsi="Times New Roman" w:eastAsia="仿宋_GB2312"/>
          <w:sz w:val="21"/>
          <w:szCs w:val="24"/>
        </w:rPr>
        <w:t>经纬</w:t>
      </w:r>
      <w:r>
        <w:rPr>
          <w:rFonts w:hint="eastAsia" w:ascii="Times New Roman" w:hAnsi="Times New Roman" w:eastAsia="仿宋_GB2312"/>
          <w:sz w:val="21"/>
          <w:szCs w:val="24"/>
        </w:rPr>
        <w:t>度</w:t>
      </w:r>
      <w:r>
        <w:rPr>
          <w:rFonts w:ascii="Times New Roman" w:hAnsi="Times New Roman" w:eastAsia="仿宋_GB2312"/>
          <w:sz w:val="21"/>
          <w:szCs w:val="24"/>
        </w:rPr>
        <w:t>坐标</w:t>
      </w:r>
      <w:r>
        <w:rPr>
          <w:rFonts w:hint="eastAsia" w:ascii="Times New Roman" w:hAnsi="Times New Roman" w:eastAsia="仿宋_GB2312"/>
          <w:sz w:val="21"/>
          <w:szCs w:val="24"/>
        </w:rPr>
        <w:t>或</w:t>
      </w:r>
      <w:r>
        <w:rPr>
          <w:rFonts w:ascii="Times New Roman" w:hAnsi="Times New Roman" w:eastAsia="仿宋_GB2312"/>
          <w:sz w:val="21"/>
          <w:szCs w:val="24"/>
        </w:rPr>
        <w:t>大地直角坐标</w:t>
      </w:r>
      <w:r>
        <w:rPr>
          <w:rFonts w:hint="eastAsia" w:ascii="Times New Roman" w:hAnsi="Times New Roman" w:eastAsia="仿宋_GB2312"/>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经度</w:t>
      </w:r>
      <w:r>
        <w:rPr>
          <w:rFonts w:hint="eastAsia" w:ascii="Times New Roman" w:hAnsi="Times New Roman" w:eastAsia="仿宋_GB2312"/>
          <w:sz w:val="21"/>
          <w:szCs w:val="24"/>
        </w:rPr>
        <w:t>（或Y）:</w:t>
      </w:r>
      <w:r>
        <w:rPr>
          <w:rFonts w:ascii="Times New Roman" w:hAnsi="Times New Roman" w:eastAsia="仿宋_GB2312"/>
          <w:sz w:val="21"/>
          <w:szCs w:val="24"/>
        </w:rPr>
        <w:t>按度、分、秒填写，经度7位</w:t>
      </w:r>
      <w:r>
        <w:rPr>
          <w:rFonts w:hint="eastAsia" w:ascii="Times New Roman" w:hAnsi="Times New Roman" w:eastAsia="仿宋_GB2312"/>
          <w:sz w:val="21"/>
          <w:szCs w:val="24"/>
        </w:rPr>
        <w:t>，</w:t>
      </w:r>
      <w:r>
        <w:rPr>
          <w:rFonts w:ascii="Times New Roman" w:hAnsi="Times New Roman" w:eastAsia="仿宋_GB2312"/>
          <w:sz w:val="21"/>
          <w:szCs w:val="24"/>
        </w:rPr>
        <w:t>大地直角坐标统一按</w:t>
      </w:r>
      <w:r>
        <w:rPr>
          <w:rFonts w:hint="eastAsia" w:ascii="Times New Roman" w:hAnsi="Times New Roman" w:eastAsia="仿宋_GB2312"/>
          <w:sz w:val="21"/>
          <w:szCs w:val="24"/>
        </w:rPr>
        <w:t>高斯3</w:t>
      </w:r>
      <w:r>
        <w:rPr>
          <w:rFonts w:ascii="Times New Roman" w:hAnsi="Times New Roman" w:eastAsia="仿宋_GB2312"/>
          <w:sz w:val="21"/>
          <w:szCs w:val="24"/>
        </w:rPr>
        <w:t>度带填写，X填7位</w:t>
      </w:r>
      <w:r>
        <w:rPr>
          <w:rFonts w:hint="eastAsia" w:ascii="Times New Roman" w:hAnsi="Times New Roman" w:eastAsia="仿宋_GB2312"/>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纬度</w:t>
      </w:r>
      <w:r>
        <w:rPr>
          <w:rFonts w:hint="eastAsia" w:ascii="Times New Roman" w:hAnsi="Times New Roman" w:eastAsia="仿宋_GB2312"/>
          <w:sz w:val="21"/>
          <w:szCs w:val="24"/>
        </w:rPr>
        <w:t>（或X）:</w:t>
      </w:r>
      <w:r>
        <w:rPr>
          <w:rFonts w:ascii="Times New Roman" w:hAnsi="Times New Roman" w:eastAsia="仿宋_GB2312"/>
          <w:sz w:val="21"/>
          <w:szCs w:val="24"/>
        </w:rPr>
        <w:t>按度、分、秒填写，纬度6位</w:t>
      </w:r>
      <w:r>
        <w:rPr>
          <w:rFonts w:hint="eastAsia" w:ascii="Times New Roman" w:hAnsi="Times New Roman" w:eastAsia="仿宋_GB2312"/>
          <w:sz w:val="21"/>
          <w:szCs w:val="24"/>
        </w:rPr>
        <w:t>，</w:t>
      </w:r>
      <w:r>
        <w:rPr>
          <w:rFonts w:ascii="Times New Roman" w:hAnsi="Times New Roman" w:eastAsia="仿宋_GB2312"/>
          <w:sz w:val="21"/>
          <w:szCs w:val="24"/>
        </w:rPr>
        <w:t>大地直角坐标统一按</w:t>
      </w:r>
      <w:r>
        <w:rPr>
          <w:rFonts w:hint="eastAsia" w:ascii="Times New Roman" w:hAnsi="Times New Roman" w:eastAsia="仿宋_GB2312"/>
          <w:sz w:val="21"/>
          <w:szCs w:val="24"/>
        </w:rPr>
        <w:t>高斯3</w:t>
      </w:r>
      <w:r>
        <w:rPr>
          <w:rFonts w:ascii="Times New Roman" w:hAnsi="Times New Roman" w:eastAsia="仿宋_GB2312"/>
          <w:sz w:val="21"/>
          <w:szCs w:val="24"/>
        </w:rPr>
        <w:t>度带填写，Y填8位（前两位为带号），精确到m</w:t>
      </w:r>
      <w:r>
        <w:rPr>
          <w:rFonts w:hint="eastAsia" w:ascii="Times New Roman" w:hAnsi="Times New Roman" w:eastAsia="仿宋_GB2312"/>
          <w:sz w:val="21"/>
          <w:szCs w:val="24"/>
        </w:rPr>
        <w:t>。</w:t>
      </w:r>
    </w:p>
    <w:p>
      <w:pPr>
        <w:adjustRightInd w:val="0"/>
        <w:snapToGrid w:val="0"/>
        <w:spacing w:line="300" w:lineRule="auto"/>
        <w:ind w:firstLine="422" w:firstLineChars="200"/>
        <w:rPr>
          <w:rFonts w:ascii="Times New Roman" w:hAnsi="Times New Roman" w:eastAsia="仿宋_GB2312"/>
          <w:b/>
          <w:bCs/>
          <w:sz w:val="21"/>
          <w:szCs w:val="24"/>
        </w:rPr>
      </w:pPr>
      <w:r>
        <w:rPr>
          <w:rFonts w:hint="eastAsia" w:ascii="Times New Roman" w:hAnsi="Times New Roman" w:eastAsia="仿宋_GB2312"/>
          <w:b/>
          <w:bCs/>
          <w:sz w:val="21"/>
          <w:szCs w:val="24"/>
        </w:rPr>
        <w:t>矿产资源储量报告</w:t>
      </w:r>
      <w:r>
        <w:rPr>
          <w:rFonts w:ascii="Times New Roman" w:hAnsi="Times New Roman" w:eastAsia="仿宋_GB2312"/>
          <w:b/>
          <w:bCs/>
          <w:sz w:val="21"/>
          <w:szCs w:val="24"/>
        </w:rPr>
        <w:t>情况</w:t>
      </w:r>
      <w:r>
        <w:rPr>
          <w:rFonts w:hint="eastAsia" w:ascii="Times New Roman" w:hAnsi="Times New Roman" w:eastAsia="仿宋_GB2312"/>
          <w:b/>
          <w:bCs/>
          <w:sz w:val="21"/>
          <w:szCs w:val="24"/>
        </w:rPr>
        <w:t>（2）：</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报告名称：填写提交本次评审备案的矿产资源储量报告全称。</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估算基准日</w:t>
      </w:r>
      <w:r>
        <w:rPr>
          <w:rFonts w:hint="eastAsia" w:ascii="Times New Roman" w:hAnsi="Times New Roman" w:eastAsia="仿宋_GB2312"/>
          <w:sz w:val="21"/>
          <w:szCs w:val="24"/>
        </w:rPr>
        <w:t>：填写矿产资源储量报告提交评审前，该油气田矿产资源储量估算的截止日期。</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报告提交时间：填写矿产资源储量报告提交申报评审的时间。</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规模：填写油气田本次结算探明技术可采储量的规模，特大型、大型、中型、小型或者特小型。</w:t>
      </w:r>
    </w:p>
    <w:p>
      <w:pPr>
        <w:adjustRightInd w:val="0"/>
        <w:snapToGrid w:val="0"/>
        <w:spacing w:line="300" w:lineRule="auto"/>
        <w:ind w:firstLine="422" w:firstLineChars="200"/>
        <w:rPr>
          <w:rFonts w:ascii="Times New Roman" w:hAnsi="Times New Roman" w:eastAsia="仿宋_GB2312"/>
          <w:b/>
          <w:bCs/>
          <w:sz w:val="21"/>
          <w:szCs w:val="24"/>
        </w:rPr>
      </w:pPr>
      <w:r>
        <w:rPr>
          <w:rFonts w:hint="eastAsia" w:ascii="Times New Roman" w:hAnsi="Times New Roman" w:eastAsia="仿宋_GB2312"/>
          <w:b/>
          <w:bCs/>
          <w:sz w:val="21"/>
          <w:szCs w:val="24"/>
        </w:rPr>
        <w:t>外部条件（3）</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所处地理环境：填写油气田或含油气区所处的地理环境（填写平原、丘陵、沙漠、河网、沼泽、海洋等的一种）。</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最近输送距离终端：陆上油气田或含油气地区的原油、凝析油填写距最近炼（油）厂的名称及到中心点的直距，海上油气田或含油气地区的原油、凝析油填写距最近码头的名称及到中心点的直距。</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气体矿产填写距离使用气体矿产产量最大城市的名称及到中心点的直距。</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距离取整数，单位Km。</w:t>
      </w:r>
    </w:p>
    <w:p>
      <w:pPr>
        <w:adjustRightInd w:val="0"/>
        <w:snapToGrid w:val="0"/>
        <w:spacing w:line="300" w:lineRule="auto"/>
        <w:ind w:firstLine="422" w:firstLineChars="200"/>
        <w:rPr>
          <w:rFonts w:ascii="Times New Roman" w:hAnsi="Times New Roman" w:eastAsia="仿宋_GB2312"/>
          <w:b/>
          <w:bCs/>
          <w:sz w:val="21"/>
          <w:szCs w:val="24"/>
        </w:rPr>
      </w:pPr>
      <w:r>
        <w:rPr>
          <w:rFonts w:hint="eastAsia" w:ascii="Times New Roman" w:hAnsi="Times New Roman" w:eastAsia="仿宋_GB2312"/>
          <w:b/>
          <w:bCs/>
          <w:sz w:val="21"/>
          <w:szCs w:val="24"/>
        </w:rPr>
        <w:t>主要油气田特征（4）：</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含油层位：填写有探明地质储量的产（含）油层位名称及其代码，只填写其中最主要的1－3个产（含）油层层位的代码</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含气层位：填写有探明地质储量的产（含）气层位名称及其代码，只填写其中最主要的1－3个产（含）气层层位的代码。</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油气藏类型：填写油气藏类型（选背斜、地层、断块、岩性、裂缝及其它复合类型中的一种填写）。</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油层顶部埋深：油（气）藏最高点的埋藏深度，单位</w:t>
      </w:r>
      <w:r>
        <w:rPr>
          <w:rFonts w:ascii="Times New Roman" w:hAnsi="Times New Roman" w:eastAsia="仿宋_GB2312"/>
          <w:sz w:val="21"/>
          <w:szCs w:val="24"/>
        </w:rPr>
        <w:t>m</w:t>
      </w:r>
      <w:r>
        <w:rPr>
          <w:rFonts w:hint="eastAsia" w:ascii="Times New Roman" w:hAnsi="Times New Roman" w:eastAsia="仿宋_GB2312"/>
          <w:sz w:val="21"/>
          <w:szCs w:val="24"/>
        </w:rPr>
        <w:t>，数值取整。</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油层底部埋深：油（气）藏最底部的埋藏深度，单位</w:t>
      </w:r>
      <w:r>
        <w:rPr>
          <w:rFonts w:ascii="Times New Roman" w:hAnsi="Times New Roman" w:eastAsia="仿宋_GB2312"/>
          <w:sz w:val="21"/>
          <w:szCs w:val="24"/>
        </w:rPr>
        <w:t>m</w:t>
      </w:r>
      <w:r>
        <w:rPr>
          <w:rFonts w:hint="eastAsia" w:ascii="Times New Roman" w:hAnsi="Times New Roman" w:eastAsia="仿宋_GB2312"/>
          <w:sz w:val="21"/>
          <w:szCs w:val="24"/>
        </w:rPr>
        <w:t>，数值取整。</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含油高度</w:t>
      </w:r>
      <w:r>
        <w:rPr>
          <w:rFonts w:hint="eastAsia" w:ascii="Times New Roman" w:hAnsi="Times New Roman" w:eastAsia="仿宋_GB2312"/>
          <w:sz w:val="21"/>
          <w:szCs w:val="24"/>
        </w:rPr>
        <w:t>：石油最高点和最低点的垂直距离或海拔高差，单位</w:t>
      </w:r>
      <w:r>
        <w:rPr>
          <w:rFonts w:ascii="Times New Roman" w:hAnsi="Times New Roman" w:eastAsia="仿宋_GB2312"/>
          <w:sz w:val="21"/>
          <w:szCs w:val="24"/>
        </w:rPr>
        <w:t>m</w:t>
      </w:r>
      <w:r>
        <w:rPr>
          <w:rFonts w:hint="eastAsia" w:ascii="Times New Roman" w:hAnsi="Times New Roman" w:eastAsia="仿宋_GB2312"/>
          <w:sz w:val="21"/>
          <w:szCs w:val="24"/>
        </w:rPr>
        <w:t>，数值取整。</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含气高度</w:t>
      </w:r>
      <w:r>
        <w:rPr>
          <w:rFonts w:hint="eastAsia" w:ascii="Times New Roman" w:hAnsi="Times New Roman" w:eastAsia="仿宋_GB2312"/>
          <w:sz w:val="21"/>
          <w:szCs w:val="24"/>
        </w:rPr>
        <w:t>：天然气最高点和最低点</w:t>
      </w:r>
      <w:r>
        <w:rPr>
          <w:rFonts w:ascii="Times New Roman" w:hAnsi="Times New Roman" w:eastAsia="仿宋_GB2312"/>
          <w:sz w:val="21"/>
          <w:szCs w:val="24"/>
        </w:rPr>
        <w:t>的垂直距离或海拔高差</w:t>
      </w:r>
      <w:r>
        <w:rPr>
          <w:rFonts w:hint="eastAsia" w:ascii="Times New Roman" w:hAnsi="Times New Roman" w:eastAsia="仿宋_GB2312"/>
          <w:sz w:val="21"/>
          <w:szCs w:val="24"/>
        </w:rPr>
        <w:t>，单位</w:t>
      </w:r>
      <w:r>
        <w:rPr>
          <w:rFonts w:ascii="Times New Roman" w:hAnsi="Times New Roman" w:eastAsia="仿宋_GB2312"/>
          <w:sz w:val="21"/>
          <w:szCs w:val="24"/>
        </w:rPr>
        <w:t>m</w:t>
      </w:r>
      <w:r>
        <w:rPr>
          <w:rFonts w:hint="eastAsia" w:ascii="Times New Roman" w:hAnsi="Times New Roman" w:eastAsia="仿宋_GB2312"/>
          <w:sz w:val="21"/>
          <w:szCs w:val="24"/>
        </w:rPr>
        <w:t>，数值取整。</w:t>
      </w:r>
    </w:p>
    <w:p>
      <w:pPr>
        <w:adjustRightInd w:val="0"/>
        <w:snapToGrid w:val="0"/>
        <w:spacing w:line="300" w:lineRule="auto"/>
        <w:ind w:firstLine="422" w:firstLineChars="200"/>
        <w:rPr>
          <w:rFonts w:ascii="Times New Roman" w:hAnsi="Times New Roman" w:eastAsia="仿宋_GB2312"/>
          <w:b/>
          <w:bCs/>
          <w:sz w:val="21"/>
          <w:szCs w:val="24"/>
        </w:rPr>
      </w:pPr>
      <w:r>
        <w:rPr>
          <w:rFonts w:hint="eastAsia" w:ascii="Times New Roman" w:hAnsi="Times New Roman" w:eastAsia="仿宋_GB2312"/>
          <w:b/>
          <w:bCs/>
          <w:sz w:val="21"/>
          <w:szCs w:val="24"/>
        </w:rPr>
        <w:t>油气藏特征及开采条件（</w:t>
      </w:r>
      <w:r>
        <w:rPr>
          <w:rFonts w:ascii="Times New Roman" w:hAnsi="Times New Roman" w:eastAsia="仿宋_GB2312"/>
          <w:b/>
          <w:bCs/>
          <w:sz w:val="21"/>
          <w:szCs w:val="24"/>
        </w:rPr>
        <w:t>5</w:t>
      </w:r>
      <w:r>
        <w:rPr>
          <w:rFonts w:hint="eastAsia" w:ascii="Times New Roman" w:hAnsi="Times New Roman" w:eastAsia="仿宋_GB2312"/>
          <w:b/>
          <w:bCs/>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地面原油密度：</w:t>
      </w:r>
      <w:r>
        <w:rPr>
          <w:rFonts w:ascii="Times New Roman" w:hAnsi="Times New Roman" w:eastAsia="仿宋_GB2312"/>
          <w:sz w:val="21"/>
          <w:szCs w:val="24"/>
        </w:rPr>
        <w:t>在标准条件下（20度，0.1MPa）每立方米原油</w:t>
      </w:r>
      <w:r>
        <w:rPr>
          <w:rFonts w:hint="eastAsia" w:ascii="Times New Roman" w:hAnsi="Times New Roman" w:eastAsia="仿宋_GB2312"/>
          <w:sz w:val="21"/>
          <w:szCs w:val="24"/>
        </w:rPr>
        <w:t>的</w:t>
      </w:r>
      <w:r>
        <w:rPr>
          <w:rFonts w:ascii="Times New Roman" w:hAnsi="Times New Roman" w:eastAsia="仿宋_GB2312"/>
          <w:sz w:val="21"/>
          <w:szCs w:val="24"/>
        </w:rPr>
        <w:t>质量</w:t>
      </w:r>
      <w:r>
        <w:rPr>
          <w:rFonts w:hint="eastAsia" w:ascii="Times New Roman" w:hAnsi="Times New Roman" w:eastAsia="仿宋_GB2312"/>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地面原油粘度：</w:t>
      </w:r>
      <w:r>
        <w:rPr>
          <w:rFonts w:ascii="Times New Roman" w:hAnsi="Times New Roman" w:eastAsia="仿宋_GB2312"/>
          <w:sz w:val="21"/>
          <w:szCs w:val="24"/>
        </w:rPr>
        <w:t>在标准条件下（20度，0.1MPa）原油中任一点上单位面积的剪应力与速度梯度的比值</w:t>
      </w:r>
      <w:r>
        <w:rPr>
          <w:rFonts w:hint="eastAsia" w:ascii="Times New Roman" w:hAnsi="Times New Roman" w:eastAsia="仿宋_GB2312"/>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原油凝固点</w:t>
      </w:r>
      <w:r>
        <w:rPr>
          <w:rFonts w:hint="eastAsia" w:ascii="Times New Roman" w:hAnsi="Times New Roman" w:eastAsia="仿宋_GB2312"/>
          <w:sz w:val="21"/>
          <w:szCs w:val="24"/>
        </w:rPr>
        <w:t>：</w:t>
      </w:r>
      <w:r>
        <w:rPr>
          <w:rFonts w:ascii="Times New Roman" w:hAnsi="Times New Roman" w:eastAsia="仿宋_GB2312"/>
          <w:sz w:val="21"/>
          <w:szCs w:val="24"/>
        </w:rPr>
        <w:t>原油在一定条件下失去流动性的最高温度</w:t>
      </w:r>
      <w:r>
        <w:rPr>
          <w:rFonts w:hint="eastAsia" w:ascii="Times New Roman" w:hAnsi="Times New Roman" w:eastAsia="仿宋_GB2312"/>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原油含硫量</w:t>
      </w:r>
      <w:r>
        <w:rPr>
          <w:rFonts w:hint="eastAsia" w:ascii="Times New Roman" w:hAnsi="Times New Roman" w:eastAsia="仿宋_GB2312"/>
          <w:sz w:val="21"/>
          <w:szCs w:val="24"/>
        </w:rPr>
        <w:t>：原油中硫的含量。</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原油含蜡量</w:t>
      </w:r>
      <w:r>
        <w:rPr>
          <w:rFonts w:hint="eastAsia" w:ascii="Times New Roman" w:hAnsi="Times New Roman" w:eastAsia="仿宋_GB2312"/>
          <w:sz w:val="21"/>
          <w:szCs w:val="24"/>
        </w:rPr>
        <w:t>：原油中蜡的含量。</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天然气相对密度</w:t>
      </w:r>
      <w:r>
        <w:rPr>
          <w:rFonts w:hint="eastAsia" w:ascii="Times New Roman" w:hAnsi="Times New Roman" w:eastAsia="仿宋_GB2312"/>
          <w:sz w:val="21"/>
          <w:szCs w:val="24"/>
        </w:rPr>
        <w:t>：在相同的压力和温度下天然气的密度与空气密度之比。</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累计产油</w:t>
      </w:r>
      <w:r>
        <w:rPr>
          <w:rFonts w:hint="eastAsia" w:ascii="Times New Roman" w:hAnsi="Times New Roman" w:eastAsia="仿宋_GB2312"/>
          <w:sz w:val="21"/>
          <w:szCs w:val="24"/>
        </w:rPr>
        <w:t>：截止到储量结算估算基准日的含油面积内累计产油量。</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累计产气</w:t>
      </w:r>
      <w:r>
        <w:rPr>
          <w:rFonts w:hint="eastAsia" w:ascii="Times New Roman" w:hAnsi="Times New Roman" w:eastAsia="仿宋_GB2312"/>
          <w:sz w:val="21"/>
          <w:szCs w:val="24"/>
        </w:rPr>
        <w:t>：截止到储量结算估算基准日的含气面积内累计产气量。</w:t>
      </w:r>
    </w:p>
    <w:p>
      <w:pPr>
        <w:adjustRightInd w:val="0"/>
        <w:snapToGrid w:val="0"/>
        <w:spacing w:line="300" w:lineRule="auto"/>
        <w:ind w:firstLine="422" w:firstLineChars="200"/>
        <w:rPr>
          <w:rFonts w:ascii="Times New Roman" w:hAnsi="Times New Roman" w:eastAsia="仿宋_GB2312"/>
          <w:b/>
          <w:bCs/>
          <w:sz w:val="21"/>
          <w:szCs w:val="24"/>
        </w:rPr>
      </w:pPr>
      <w:r>
        <w:rPr>
          <w:rFonts w:ascii="Times New Roman" w:hAnsi="Times New Roman" w:eastAsia="仿宋_GB2312"/>
          <w:b/>
          <w:bCs/>
          <w:sz w:val="21"/>
          <w:szCs w:val="24"/>
        </w:rPr>
        <w:t>矿产资源储量</w:t>
      </w:r>
      <w:r>
        <w:rPr>
          <w:rFonts w:hint="eastAsia" w:ascii="Times New Roman" w:hAnsi="Times New Roman" w:eastAsia="仿宋_GB2312"/>
          <w:b/>
          <w:bCs/>
          <w:sz w:val="21"/>
          <w:szCs w:val="24"/>
        </w:rPr>
        <w:t>（6）：</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矿产名称：包括原油、凝析油、气层气、溶解气、煤层气、页岩气、二氧化碳气及氦气等气体矿产。</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单位：填报的石油（包括原油和凝析油）储量和采出量均填写两组单位的储量数据：一组以重量单位万吨表示，一组以体积单位万立方米表示，各类可采储量数值均取小数点后两位；气体矿产（包括气层气、溶解气、煤层气、页岩气、二氧化碳气及氦气等）探明储量和采出量均以亿立方米表示</w:t>
      </w:r>
      <w:r>
        <w:rPr>
          <w:rFonts w:ascii="Times New Roman" w:hAnsi="Times New Roman" w:eastAsia="仿宋_GB2312"/>
          <w:sz w:val="21"/>
          <w:szCs w:val="24"/>
        </w:rPr>
        <w:t>,</w:t>
      </w:r>
      <w:r>
        <w:rPr>
          <w:rFonts w:hint="eastAsia" w:ascii="Times New Roman" w:hAnsi="Times New Roman" w:eastAsia="仿宋_GB2312"/>
          <w:sz w:val="21"/>
          <w:szCs w:val="24"/>
        </w:rPr>
        <w:t>数值取小数点后二位。</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探明地质储量、探明技术可采储量、探明</w:t>
      </w:r>
      <w:r>
        <w:rPr>
          <w:rFonts w:ascii="Times New Roman" w:hAnsi="Times New Roman" w:eastAsia="仿宋_GB2312"/>
          <w:sz w:val="21"/>
          <w:szCs w:val="24"/>
        </w:rPr>
        <w:t>经济可采储量</w:t>
      </w:r>
      <w:r>
        <w:rPr>
          <w:rFonts w:hint="eastAsia" w:ascii="Times New Roman" w:hAnsi="Times New Roman" w:eastAsia="仿宋_GB2312"/>
          <w:sz w:val="21"/>
          <w:szCs w:val="24"/>
        </w:rPr>
        <w:t>、</w:t>
      </w:r>
      <w:r>
        <w:rPr>
          <w:rFonts w:ascii="Times New Roman" w:hAnsi="Times New Roman" w:eastAsia="仿宋_GB2312"/>
          <w:sz w:val="21"/>
          <w:szCs w:val="24"/>
        </w:rPr>
        <w:t>探明剩余经济可采储量</w:t>
      </w:r>
      <w:r>
        <w:rPr>
          <w:rFonts w:hint="eastAsia" w:ascii="Times New Roman" w:hAnsi="Times New Roman" w:eastAsia="仿宋_GB2312"/>
          <w:sz w:val="21"/>
          <w:szCs w:val="24"/>
        </w:rPr>
        <w:t>：填写的探明地质储量增（＋）减（－）信息，按当年勘查新增、复/核算/标定增减、净增合计填写，对新探明的油气田，只填写新增，不填复/核算/标定增减。</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新增：通过勘查新增加的探明地质储量、探明技术可采储量、探明经济可采储量、探明剩余经济可采储量。</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复/核算/标定增减：因经济指标改变或其它原因对探明地质储量、探明技术可采储量、探明经济可采储量、探明剩余经济可采储量进行储量估算或重新评价。</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净增合计：包含新增+复/核算增减的探明地质储量、探明技术可采储量、探明经济可采储量、探明剩余经济可采储量。</w:t>
      </w:r>
    </w:p>
    <w:p>
      <w:pPr>
        <w:adjustRightInd w:val="0"/>
        <w:snapToGrid w:val="0"/>
        <w:spacing w:line="300" w:lineRule="auto"/>
        <w:ind w:firstLine="422" w:firstLineChars="200"/>
        <w:rPr>
          <w:rFonts w:ascii="Times New Roman" w:hAnsi="Times New Roman" w:eastAsia="仿宋_GB2312"/>
          <w:b/>
          <w:bCs/>
          <w:sz w:val="21"/>
          <w:szCs w:val="24"/>
        </w:rPr>
      </w:pPr>
      <w:r>
        <w:rPr>
          <w:rFonts w:hint="eastAsia" w:ascii="Times New Roman" w:hAnsi="Times New Roman" w:eastAsia="仿宋_GB2312"/>
          <w:b/>
          <w:bCs/>
          <w:sz w:val="21"/>
          <w:szCs w:val="24"/>
        </w:rPr>
        <w:t>矿产资源储量估算范围拐点坐标、标高、面积及示意图（7）：</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矿产资源储量估算范围拐点坐标：油气田本次结算的储量估算范围拐点的大地直角坐标或经纬度坐标。大地直角坐标精确到m，X填7位，Y填8位（前2位为带号，统一采用高斯3度带）。经纬度坐标按度、分、秒填写，经度7位，纬度6位。</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油气田储量计算范围拐点的选取和数量应以能基本反映和代表实际储量计算范围为原则，在拐点过多时，可选取主要控制拐点。实际储量计算没有使用控制边界拐点、填写拐点座标有困难的，可暂不填写。</w:t>
      </w:r>
    </w:p>
    <w:p>
      <w:pPr>
        <w:adjustRightInd w:val="0"/>
        <w:snapToGrid w:val="0"/>
        <w:spacing w:line="300" w:lineRule="auto"/>
        <w:ind w:firstLine="420" w:firstLineChars="200"/>
        <w:rPr>
          <w:rFonts w:ascii="Times New Roman" w:hAnsi="Times New Roman" w:eastAsia="仿宋_GB2312"/>
          <w:sz w:val="21"/>
          <w:szCs w:val="24"/>
        </w:rPr>
      </w:pPr>
      <w:r>
        <w:rPr>
          <w:rFonts w:hint="eastAsia" w:ascii="Times New Roman" w:hAnsi="Times New Roman" w:eastAsia="仿宋_GB2312"/>
          <w:sz w:val="21"/>
          <w:szCs w:val="24"/>
        </w:rPr>
        <w:t>含油面积：填写油气田本次储量结算估算的叠合含油面积（叠合部分只计算一次，精确到0.1</w:t>
      </w:r>
      <w:r>
        <w:rPr>
          <w:rFonts w:ascii="Times New Roman" w:hAnsi="Times New Roman" w:eastAsia="仿宋_GB2312"/>
          <w:sz w:val="21"/>
          <w:szCs w:val="24"/>
        </w:rPr>
        <w:t>km</w:t>
      </w:r>
      <w:r>
        <w:rPr>
          <w:rFonts w:ascii="Times New Roman" w:hAnsi="Times New Roman" w:eastAsia="仿宋_GB2312"/>
          <w:sz w:val="21"/>
          <w:szCs w:val="24"/>
          <w:vertAlign w:val="superscript"/>
        </w:rPr>
        <w:t>2</w:t>
      </w:r>
      <w:r>
        <w:rPr>
          <w:rFonts w:hint="eastAsia" w:ascii="Times New Roman" w:hAnsi="Times New Roman" w:eastAsia="仿宋_GB2312"/>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含气面积</w:t>
      </w:r>
      <w:r>
        <w:rPr>
          <w:rFonts w:hint="eastAsia" w:ascii="Times New Roman" w:hAnsi="Times New Roman" w:eastAsia="仿宋_GB2312"/>
          <w:sz w:val="21"/>
          <w:szCs w:val="24"/>
        </w:rPr>
        <w:t>：填写油气田本次储量结算估算的叠合含气面积（叠合部分只计算一次，精确到0.1</w:t>
      </w:r>
      <w:r>
        <w:rPr>
          <w:rFonts w:ascii="Times New Roman" w:hAnsi="Times New Roman" w:eastAsia="仿宋_GB2312"/>
          <w:sz w:val="21"/>
          <w:szCs w:val="24"/>
        </w:rPr>
        <w:t>km</w:t>
      </w:r>
      <w:r>
        <w:rPr>
          <w:rFonts w:ascii="Times New Roman" w:hAnsi="Times New Roman" w:eastAsia="仿宋_GB2312"/>
          <w:sz w:val="21"/>
          <w:szCs w:val="24"/>
          <w:vertAlign w:val="superscript"/>
        </w:rPr>
        <w:t>2</w:t>
      </w:r>
      <w:r>
        <w:rPr>
          <w:rFonts w:hint="eastAsia" w:ascii="Times New Roman" w:hAnsi="Times New Roman" w:eastAsia="仿宋_GB2312"/>
          <w:sz w:val="21"/>
          <w:szCs w:val="24"/>
        </w:rPr>
        <w:t>）</w:t>
      </w:r>
    </w:p>
    <w:p>
      <w:pPr>
        <w:adjustRightInd w:val="0"/>
        <w:snapToGrid w:val="0"/>
        <w:spacing w:line="300" w:lineRule="auto"/>
        <w:ind w:firstLine="420" w:firstLineChars="200"/>
        <w:rPr>
          <w:rFonts w:ascii="Times New Roman" w:hAnsi="Times New Roman" w:eastAsia="仿宋_GB2312"/>
          <w:sz w:val="21"/>
          <w:szCs w:val="24"/>
        </w:rPr>
      </w:pPr>
      <w:r>
        <w:rPr>
          <w:rFonts w:ascii="Times New Roman" w:hAnsi="Times New Roman" w:eastAsia="仿宋_GB2312"/>
          <w:sz w:val="21"/>
          <w:szCs w:val="24"/>
        </w:rPr>
        <w:t>标高</w:t>
      </w:r>
      <w:r>
        <w:rPr>
          <w:rFonts w:hint="eastAsia" w:ascii="Times New Roman" w:hAnsi="Times New Roman" w:eastAsia="仿宋_GB2312"/>
          <w:sz w:val="21"/>
          <w:szCs w:val="24"/>
        </w:rPr>
        <w:t>：油（气）藏最高点与底部的埋藏深度，单位</w:t>
      </w:r>
      <w:r>
        <w:rPr>
          <w:rFonts w:ascii="Times New Roman" w:hAnsi="Times New Roman" w:eastAsia="仿宋_GB2312"/>
          <w:sz w:val="21"/>
          <w:szCs w:val="24"/>
        </w:rPr>
        <w:t>m</w:t>
      </w:r>
      <w:r>
        <w:rPr>
          <w:rFonts w:hint="eastAsia" w:ascii="Times New Roman" w:hAnsi="Times New Roman" w:eastAsia="仿宋_GB2312"/>
          <w:sz w:val="21"/>
          <w:szCs w:val="24"/>
        </w:rPr>
        <w:t>，数值取整。</w:t>
      </w:r>
    </w:p>
    <w:p>
      <w:pPr>
        <w:adjustRightInd w:val="0"/>
        <w:snapToGrid w:val="0"/>
        <w:ind w:firstLine="420" w:firstLineChars="200"/>
        <w:rPr>
          <w:rFonts w:ascii="Times New Roman" w:hAnsi="Times New Roman" w:eastAsia="仿宋_GB2312"/>
          <w:sz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7237"/>
      <w:docPartObj>
        <w:docPartGallery w:val="autotext"/>
      </w:docPartObj>
    </w:sdtPr>
    <w:sdtContent>
      <w:p>
        <w:pPr>
          <w:pStyle w:val="9"/>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04D9"/>
    <w:rsid w:val="00016308"/>
    <w:rsid w:val="000216E9"/>
    <w:rsid w:val="000A1EFD"/>
    <w:rsid w:val="000D04EB"/>
    <w:rsid w:val="000E3970"/>
    <w:rsid w:val="00177DFC"/>
    <w:rsid w:val="002A6E52"/>
    <w:rsid w:val="002D1ACF"/>
    <w:rsid w:val="00324CF0"/>
    <w:rsid w:val="00343635"/>
    <w:rsid w:val="00435F0B"/>
    <w:rsid w:val="00454BF8"/>
    <w:rsid w:val="00476125"/>
    <w:rsid w:val="00497E2F"/>
    <w:rsid w:val="00565DF2"/>
    <w:rsid w:val="00573574"/>
    <w:rsid w:val="00581E95"/>
    <w:rsid w:val="00602574"/>
    <w:rsid w:val="006504D9"/>
    <w:rsid w:val="00681A87"/>
    <w:rsid w:val="006B13B2"/>
    <w:rsid w:val="006B4F20"/>
    <w:rsid w:val="006C3C8C"/>
    <w:rsid w:val="00743743"/>
    <w:rsid w:val="00746C95"/>
    <w:rsid w:val="00805F38"/>
    <w:rsid w:val="00827ACD"/>
    <w:rsid w:val="00886230"/>
    <w:rsid w:val="008871BC"/>
    <w:rsid w:val="008C072E"/>
    <w:rsid w:val="0091722A"/>
    <w:rsid w:val="00AB4A27"/>
    <w:rsid w:val="00B04AB0"/>
    <w:rsid w:val="00B60A06"/>
    <w:rsid w:val="00B708D2"/>
    <w:rsid w:val="00BC4E6E"/>
    <w:rsid w:val="00D00C8F"/>
    <w:rsid w:val="00DD7096"/>
    <w:rsid w:val="00E83C5F"/>
    <w:rsid w:val="00EC03C6"/>
    <w:rsid w:val="00F62E0D"/>
    <w:rsid w:val="00F63CF1"/>
    <w:rsid w:val="0268352C"/>
    <w:rsid w:val="03A11B8F"/>
    <w:rsid w:val="04000A85"/>
    <w:rsid w:val="05390F20"/>
    <w:rsid w:val="05D075D5"/>
    <w:rsid w:val="05F02CE0"/>
    <w:rsid w:val="06C52A4C"/>
    <w:rsid w:val="07061B76"/>
    <w:rsid w:val="07FA2D14"/>
    <w:rsid w:val="09AC5360"/>
    <w:rsid w:val="0AA7616F"/>
    <w:rsid w:val="0DF62A3B"/>
    <w:rsid w:val="0EA02CC1"/>
    <w:rsid w:val="0FE63984"/>
    <w:rsid w:val="10AF6D57"/>
    <w:rsid w:val="13301FFD"/>
    <w:rsid w:val="13614A7C"/>
    <w:rsid w:val="13C20F6B"/>
    <w:rsid w:val="14CD567F"/>
    <w:rsid w:val="16341A92"/>
    <w:rsid w:val="166349EB"/>
    <w:rsid w:val="16C16371"/>
    <w:rsid w:val="16C655EB"/>
    <w:rsid w:val="16D9277E"/>
    <w:rsid w:val="19A87386"/>
    <w:rsid w:val="19D3175F"/>
    <w:rsid w:val="1C6E48BF"/>
    <w:rsid w:val="1CED0DCC"/>
    <w:rsid w:val="1E4F04D4"/>
    <w:rsid w:val="1F1015EC"/>
    <w:rsid w:val="1FF81D74"/>
    <w:rsid w:val="233F2F65"/>
    <w:rsid w:val="23840954"/>
    <w:rsid w:val="24BD6E94"/>
    <w:rsid w:val="24E53E8E"/>
    <w:rsid w:val="253062D6"/>
    <w:rsid w:val="25911B0C"/>
    <w:rsid w:val="279F2183"/>
    <w:rsid w:val="284E60F9"/>
    <w:rsid w:val="296607FD"/>
    <w:rsid w:val="29830C58"/>
    <w:rsid w:val="2BE00AE0"/>
    <w:rsid w:val="2C465759"/>
    <w:rsid w:val="2C8E0A4B"/>
    <w:rsid w:val="2CFE7CE5"/>
    <w:rsid w:val="2E0478D4"/>
    <w:rsid w:val="2F960CEC"/>
    <w:rsid w:val="2F9C49A5"/>
    <w:rsid w:val="31191B68"/>
    <w:rsid w:val="316E0869"/>
    <w:rsid w:val="31AB247C"/>
    <w:rsid w:val="321157F9"/>
    <w:rsid w:val="33A61A00"/>
    <w:rsid w:val="33ED6F92"/>
    <w:rsid w:val="357C7962"/>
    <w:rsid w:val="36D36062"/>
    <w:rsid w:val="37367C91"/>
    <w:rsid w:val="3763714A"/>
    <w:rsid w:val="395622CE"/>
    <w:rsid w:val="3A100588"/>
    <w:rsid w:val="3A1F0974"/>
    <w:rsid w:val="3B5C6601"/>
    <w:rsid w:val="3C342B99"/>
    <w:rsid w:val="3CE31831"/>
    <w:rsid w:val="3D527E51"/>
    <w:rsid w:val="3D706563"/>
    <w:rsid w:val="3DA3515D"/>
    <w:rsid w:val="3E224320"/>
    <w:rsid w:val="3E9F2CED"/>
    <w:rsid w:val="3EC11805"/>
    <w:rsid w:val="404A64BE"/>
    <w:rsid w:val="4063714B"/>
    <w:rsid w:val="42791FF8"/>
    <w:rsid w:val="42B42025"/>
    <w:rsid w:val="434D381D"/>
    <w:rsid w:val="440516EC"/>
    <w:rsid w:val="44C5798F"/>
    <w:rsid w:val="450E256D"/>
    <w:rsid w:val="452F051B"/>
    <w:rsid w:val="454C01C4"/>
    <w:rsid w:val="46187CE8"/>
    <w:rsid w:val="46257F07"/>
    <w:rsid w:val="478C0956"/>
    <w:rsid w:val="48D952A4"/>
    <w:rsid w:val="490B1B5C"/>
    <w:rsid w:val="497A115C"/>
    <w:rsid w:val="4BA80FB5"/>
    <w:rsid w:val="4C882720"/>
    <w:rsid w:val="4CB328DC"/>
    <w:rsid w:val="4F4B6C92"/>
    <w:rsid w:val="4FB01710"/>
    <w:rsid w:val="50B23BA1"/>
    <w:rsid w:val="50C93A1C"/>
    <w:rsid w:val="514103BC"/>
    <w:rsid w:val="522240F7"/>
    <w:rsid w:val="52545CC7"/>
    <w:rsid w:val="53992A75"/>
    <w:rsid w:val="541C2BF6"/>
    <w:rsid w:val="556A20C1"/>
    <w:rsid w:val="57AE71B2"/>
    <w:rsid w:val="590D7144"/>
    <w:rsid w:val="59182782"/>
    <w:rsid w:val="59314AA8"/>
    <w:rsid w:val="59ED0AB5"/>
    <w:rsid w:val="5A595338"/>
    <w:rsid w:val="5BB80BA2"/>
    <w:rsid w:val="5D0537B8"/>
    <w:rsid w:val="606211AD"/>
    <w:rsid w:val="607E4F54"/>
    <w:rsid w:val="60A659F7"/>
    <w:rsid w:val="619744A9"/>
    <w:rsid w:val="61C16C83"/>
    <w:rsid w:val="6430018E"/>
    <w:rsid w:val="643F074B"/>
    <w:rsid w:val="64625F6A"/>
    <w:rsid w:val="64B872D9"/>
    <w:rsid w:val="64F7268A"/>
    <w:rsid w:val="66A86142"/>
    <w:rsid w:val="677854DB"/>
    <w:rsid w:val="681363E1"/>
    <w:rsid w:val="684D418A"/>
    <w:rsid w:val="690725A8"/>
    <w:rsid w:val="69284B2B"/>
    <w:rsid w:val="69686F16"/>
    <w:rsid w:val="6A84717C"/>
    <w:rsid w:val="6B4610E1"/>
    <w:rsid w:val="6BAC7FA7"/>
    <w:rsid w:val="6C1B06EB"/>
    <w:rsid w:val="6C285095"/>
    <w:rsid w:val="6C4D03E4"/>
    <w:rsid w:val="6CEA4314"/>
    <w:rsid w:val="6E927CA8"/>
    <w:rsid w:val="6F95111C"/>
    <w:rsid w:val="71E30372"/>
    <w:rsid w:val="7204045B"/>
    <w:rsid w:val="725D7DFF"/>
    <w:rsid w:val="72C70F0F"/>
    <w:rsid w:val="73BA404D"/>
    <w:rsid w:val="740A68F3"/>
    <w:rsid w:val="7569471D"/>
    <w:rsid w:val="773647C2"/>
    <w:rsid w:val="77F518DA"/>
    <w:rsid w:val="788B4D02"/>
    <w:rsid w:val="78A461D2"/>
    <w:rsid w:val="7A096981"/>
    <w:rsid w:val="7B7C59AD"/>
    <w:rsid w:val="7E0B309B"/>
    <w:rsid w:val="7E0B3F18"/>
    <w:rsid w:val="7E414078"/>
    <w:rsid w:val="7E7B5023"/>
    <w:rsid w:val="7F295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13"/>
      <w:szCs w:val="13"/>
      <w:lang w:val="en-US" w:eastAsia="zh-CN" w:bidi="ar-SA"/>
    </w:rPr>
  </w:style>
  <w:style w:type="paragraph" w:styleId="2">
    <w:name w:val="heading 1"/>
    <w:basedOn w:val="1"/>
    <w:next w:val="1"/>
    <w:qFormat/>
    <w:uiPriority w:val="0"/>
    <w:pPr>
      <w:keepNext/>
      <w:autoSpaceDE w:val="0"/>
      <w:autoSpaceDN w:val="0"/>
      <w:adjustRightInd w:val="0"/>
      <w:spacing w:before="120" w:after="120" w:line="440" w:lineRule="exact"/>
      <w:ind w:left="350" w:leftChars="100" w:right="100" w:rightChars="100"/>
      <w:jc w:val="center"/>
      <w:outlineLvl w:val="0"/>
    </w:pPr>
    <w:rPr>
      <w:rFonts w:ascii="仿宋_GB2312" w:hAnsi="仿宋_GB2312"/>
      <w:sz w:val="32"/>
      <w:szCs w:val="20"/>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qFormat/>
    <w:uiPriority w:val="0"/>
    <w:rPr>
      <w:sz w:val="24"/>
    </w:rPr>
  </w:style>
  <w:style w:type="paragraph" w:styleId="6">
    <w:name w:val="Plain Text"/>
    <w:basedOn w:val="1"/>
    <w:qFormat/>
    <w:uiPriority w:val="0"/>
    <w:rPr>
      <w:rFonts w:hAnsi="Courier New"/>
      <w:sz w:val="24"/>
      <w:szCs w:val="20"/>
    </w:rPr>
  </w:style>
  <w:style w:type="paragraph" w:styleId="7">
    <w:name w:val="Body Text Indent 2"/>
    <w:basedOn w:val="1"/>
    <w:qFormat/>
    <w:uiPriority w:val="0"/>
    <w:pPr>
      <w:autoSpaceDE w:val="0"/>
      <w:autoSpaceDN w:val="0"/>
      <w:spacing w:line="360" w:lineRule="auto"/>
      <w:ind w:firstLine="660"/>
      <w:textAlignment w:val="bottom"/>
    </w:pPr>
    <w:rPr>
      <w:rFonts w:ascii="楷体_GB2312" w:eastAsia="楷体_GB2312"/>
      <w:sz w:val="24"/>
    </w:rPr>
  </w:style>
  <w:style w:type="paragraph" w:styleId="8">
    <w:name w:val="Balloon Text"/>
    <w:basedOn w:val="1"/>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libri Light" w:hAnsi="Calibri Light"/>
      <w:b/>
      <w:bCs/>
      <w:kern w:val="28"/>
      <w:sz w:val="28"/>
      <w:szCs w:val="32"/>
    </w:rPr>
  </w:style>
  <w:style w:type="paragraph" w:styleId="12">
    <w:name w:val="Body Text Indent 3"/>
    <w:basedOn w:val="1"/>
    <w:qFormat/>
    <w:uiPriority w:val="0"/>
    <w:pPr>
      <w:autoSpaceDE w:val="0"/>
      <w:autoSpaceDN w:val="0"/>
      <w:spacing w:line="360" w:lineRule="auto"/>
      <w:ind w:firstLine="660"/>
      <w:textAlignment w:val="bottom"/>
    </w:pPr>
    <w:rPr>
      <w:sz w:val="21"/>
    </w:rPr>
  </w:style>
  <w:style w:type="paragraph" w:styleId="13">
    <w:name w:val="annotation subject"/>
    <w:basedOn w:val="4"/>
    <w:next w:val="4"/>
    <w:link w:val="21"/>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paragraph" w:customStyle="1" w:styleId="19">
    <w:name w:val="列表段落"/>
    <w:basedOn w:val="1"/>
    <w:qFormat/>
    <w:uiPriority w:val="99"/>
    <w:pPr>
      <w:ind w:firstLine="420" w:firstLineChars="200"/>
    </w:pPr>
  </w:style>
  <w:style w:type="character" w:customStyle="1" w:styleId="20">
    <w:name w:val="批注文字 Char"/>
    <w:basedOn w:val="16"/>
    <w:link w:val="4"/>
    <w:qFormat/>
    <w:uiPriority w:val="0"/>
    <w:rPr>
      <w:rFonts w:ascii="宋体" w:hAnsi="宋体"/>
      <w:kern w:val="2"/>
      <w:sz w:val="13"/>
      <w:szCs w:val="13"/>
    </w:rPr>
  </w:style>
  <w:style w:type="character" w:customStyle="1" w:styleId="21">
    <w:name w:val="批注主题 Char"/>
    <w:basedOn w:val="20"/>
    <w:link w:val="13"/>
    <w:qFormat/>
    <w:uiPriority w:val="0"/>
    <w:rPr>
      <w:rFonts w:ascii="宋体" w:hAnsi="宋体"/>
      <w:b/>
      <w:bCs/>
      <w:kern w:val="2"/>
      <w:sz w:val="13"/>
      <w:szCs w:val="13"/>
    </w:rPr>
  </w:style>
  <w:style w:type="paragraph" w:customStyle="1" w:styleId="22">
    <w:name w:val="表格内容"/>
    <w:basedOn w:val="1"/>
    <w:qFormat/>
    <w:uiPriority w:val="0"/>
    <w:rPr>
      <w:sz w:val="24"/>
    </w:rPr>
  </w:style>
  <w:style w:type="character" w:customStyle="1" w:styleId="23">
    <w:name w:val="页脚 Char"/>
    <w:basedOn w:val="16"/>
    <w:link w:val="9"/>
    <w:qFormat/>
    <w:uiPriority w:val="99"/>
    <w:rPr>
      <w:rFonts w:ascii="宋体" w:hAnsi="宋体"/>
      <w:kern w:val="2"/>
      <w:sz w:val="18"/>
      <w:szCs w:val="1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543</Words>
  <Characters>3099</Characters>
  <Lines>25</Lines>
  <Paragraphs>7</Paragraphs>
  <TotalTime>5</TotalTime>
  <ScaleCrop>false</ScaleCrop>
  <LinksUpToDate>false</LinksUpToDate>
  <CharactersWithSpaces>3635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2020-09-16T07:52:00Z</dcterms:created>
  <dc:creator>apple</dc:creator>
  <cp:lastModifiedBy>敏</cp:lastModifiedBy>
  <cp:lastPrinted>2020-08-21T02:39:00Z</cp:lastPrinted>
  <dcterms:modified xsi:type="dcterms:W3CDTF">2020-10-15T02:24:08Z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