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eastAsia="黑体"/>
          <w:sz w:val="32"/>
          <w:szCs w:val="32"/>
        </w:rPr>
      </w:pPr>
      <w:r>
        <w:rPr>
          <w:rFonts w:eastAsia="黑体"/>
          <w:sz w:val="32"/>
          <w:szCs w:val="32"/>
        </w:rPr>
        <w:t>附件</w:t>
      </w:r>
    </w:p>
    <w:p>
      <w:pPr>
        <w:spacing w:line="700" w:lineRule="exact"/>
        <w:jc w:val="center"/>
        <w:rPr>
          <w:rFonts w:eastAsia="方正小标宋_GBK"/>
          <w:sz w:val="44"/>
          <w:szCs w:val="44"/>
        </w:rPr>
      </w:pPr>
      <w:r>
        <w:rPr>
          <w:rFonts w:hint="eastAsia" w:eastAsia="方正小标宋_GBK"/>
          <w:sz w:val="44"/>
          <w:szCs w:val="44"/>
          <w:lang w:val="en-US" w:eastAsia="zh-CN"/>
        </w:rPr>
        <w:t>12</w:t>
      </w:r>
      <w:r>
        <w:rPr>
          <w:rFonts w:eastAsia="方正小标宋_GBK"/>
          <w:sz w:val="44"/>
          <w:szCs w:val="44"/>
        </w:rPr>
        <w:t>个通过审查的矿山地质环境保护</w:t>
      </w:r>
    </w:p>
    <w:p>
      <w:pPr>
        <w:spacing w:line="700" w:lineRule="exact"/>
        <w:jc w:val="center"/>
        <w:rPr>
          <w:rFonts w:eastAsia="方正小标宋_GBK"/>
          <w:sz w:val="44"/>
          <w:szCs w:val="44"/>
        </w:rPr>
      </w:pPr>
      <w:r>
        <w:rPr>
          <w:rFonts w:eastAsia="方正小标宋_GBK"/>
          <w:sz w:val="44"/>
          <w:szCs w:val="44"/>
        </w:rPr>
        <w:t>与土地复垦方案名单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黑体" w:cs="Times New Roman"/>
                <w:sz w:val="32"/>
                <w:szCs w:val="32"/>
              </w:rPr>
            </w:pPr>
            <w:r>
              <w:rPr>
                <w:rFonts w:hint="default" w:ascii="Times New Roman" w:hAnsi="黑体" w:eastAsia="黑体" w:cs="Times New Roman"/>
                <w:sz w:val="32"/>
                <w:szCs w:val="32"/>
              </w:rPr>
              <w:t>序号</w:t>
            </w:r>
          </w:p>
        </w:tc>
        <w:tc>
          <w:tcPr>
            <w:tcW w:w="7471" w:type="dxa"/>
            <w:noWrap w:val="0"/>
            <w:vAlign w:val="center"/>
          </w:tcPr>
          <w:p>
            <w:pPr>
              <w:jc w:val="center"/>
              <w:rPr>
                <w:rFonts w:hint="default" w:ascii="Times New Roman" w:hAnsi="Times New Roman" w:eastAsia="黑体" w:cs="Times New Roman"/>
                <w:sz w:val="32"/>
                <w:szCs w:val="32"/>
              </w:rPr>
            </w:pPr>
            <w:r>
              <w:rPr>
                <w:rFonts w:hint="default" w:ascii="Times New Roman" w:hAnsi="黑体" w:eastAsia="黑体" w:cs="Times New Roman"/>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ascii="Times New Roman" w:hAnsi="Times New Roman" w:eastAsia="仿宋_GB2312"/>
                <w:sz w:val="32"/>
                <w:szCs w:val="32"/>
              </w:rPr>
            </w:pPr>
            <w:r>
              <w:rPr>
                <w:rFonts w:ascii="Times New Roman" w:hAnsi="Times New Roman" w:eastAsia="仿宋_GB2312"/>
                <w:b/>
                <w:sz w:val="32"/>
                <w:szCs w:val="32"/>
              </w:rPr>
              <w:t>1</w:t>
            </w:r>
          </w:p>
        </w:tc>
        <w:tc>
          <w:tcPr>
            <w:tcW w:w="7471" w:type="dxa"/>
            <w:noWrap w:val="0"/>
            <w:vAlign w:val="center"/>
          </w:tcPr>
          <w:p>
            <w:pPr>
              <w:rPr>
                <w:rFonts w:ascii="Times New Roman" w:hAnsi="Times New Roman" w:eastAsia="仿宋_GB2312"/>
                <w:sz w:val="32"/>
                <w:szCs w:val="32"/>
              </w:rPr>
            </w:pPr>
            <w:r>
              <w:rPr>
                <w:rFonts w:hint="eastAsia" w:ascii="Times New Roman" w:eastAsia="仿宋_GB2312"/>
                <w:sz w:val="32"/>
                <w:szCs w:val="32"/>
              </w:rPr>
              <w:t>中国石油天然气股份有限公司新疆三塘湖盆地三塘湖油田西峡沟马216区块石油开采矿山地质环境保护与土地复垦方案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ascii="Times New Roman" w:hAnsi="Times New Roman" w:eastAsia="仿宋_GB2312"/>
                <w:sz w:val="32"/>
                <w:szCs w:val="32"/>
              </w:rPr>
            </w:pPr>
            <w:r>
              <w:rPr>
                <w:rFonts w:ascii="Times New Roman" w:hAnsi="Times New Roman" w:eastAsia="仿宋_GB2312"/>
                <w:b/>
                <w:sz w:val="32"/>
                <w:szCs w:val="32"/>
              </w:rPr>
              <w:t>2</w:t>
            </w:r>
          </w:p>
        </w:tc>
        <w:tc>
          <w:tcPr>
            <w:tcW w:w="7471" w:type="dxa"/>
            <w:noWrap w:val="0"/>
            <w:vAlign w:val="center"/>
          </w:tcPr>
          <w:p>
            <w:pPr>
              <w:rPr>
                <w:rFonts w:ascii="Times New Roman" w:hAnsi="Times New Roman" w:eastAsia="仿宋_GB2312"/>
                <w:sz w:val="32"/>
                <w:szCs w:val="32"/>
              </w:rPr>
            </w:pPr>
            <w:r>
              <w:rPr>
                <w:rFonts w:hint="eastAsia" w:ascii="Times New Roman" w:eastAsia="仿宋_GB2312"/>
                <w:sz w:val="32"/>
                <w:szCs w:val="32"/>
              </w:rPr>
              <w:t>中国石油化工股份有限公司江苏油田分公司广东北部湾盆地迈陈凹陷徐闻油田油气开采矿山地质环境保护与土地复垦方案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ascii="Times New Roman" w:hAnsi="Times New Roman" w:eastAsia="仿宋_GB2312"/>
                <w:sz w:val="32"/>
                <w:szCs w:val="32"/>
              </w:rPr>
            </w:pPr>
            <w:r>
              <w:rPr>
                <w:rFonts w:ascii="Times New Roman" w:hAnsi="Times New Roman" w:eastAsia="仿宋_GB2312"/>
                <w:b/>
                <w:sz w:val="32"/>
                <w:szCs w:val="32"/>
              </w:rPr>
              <w:t>3</w:t>
            </w:r>
          </w:p>
        </w:tc>
        <w:tc>
          <w:tcPr>
            <w:tcW w:w="7471" w:type="dxa"/>
            <w:noWrap w:val="0"/>
            <w:vAlign w:val="center"/>
          </w:tcPr>
          <w:p>
            <w:pPr>
              <w:rPr>
                <w:rFonts w:ascii="Times New Roman" w:hAnsi="Times New Roman" w:eastAsia="仿宋_GB2312"/>
                <w:sz w:val="32"/>
                <w:szCs w:val="32"/>
              </w:rPr>
            </w:pPr>
            <w:r>
              <w:rPr>
                <w:rFonts w:hint="eastAsia" w:ascii="Times New Roman" w:eastAsia="仿宋_GB2312"/>
                <w:sz w:val="32"/>
                <w:szCs w:val="32"/>
              </w:rPr>
              <w:t>中国石油天然气股份有限公司辽河油田分公司黄沙坨油田矿山地质环境保护与土地复垦方案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ascii="Times New Roman" w:hAnsi="Times New Roman" w:eastAsia="仿宋_GB2312"/>
                <w:sz w:val="32"/>
                <w:szCs w:val="32"/>
              </w:rPr>
            </w:pPr>
            <w:r>
              <w:rPr>
                <w:rFonts w:ascii="Times New Roman" w:hAnsi="Times New Roman" w:eastAsia="仿宋_GB2312"/>
                <w:b/>
                <w:sz w:val="32"/>
                <w:szCs w:val="32"/>
              </w:rPr>
              <w:t>4</w:t>
            </w:r>
          </w:p>
        </w:tc>
        <w:tc>
          <w:tcPr>
            <w:tcW w:w="7471" w:type="dxa"/>
            <w:noWrap w:val="0"/>
            <w:vAlign w:val="center"/>
          </w:tcPr>
          <w:p>
            <w:pPr>
              <w:rPr>
                <w:rFonts w:ascii="Times New Roman" w:hAnsi="Times New Roman" w:eastAsia="仿宋_GB2312"/>
                <w:sz w:val="32"/>
                <w:szCs w:val="32"/>
              </w:rPr>
            </w:pPr>
            <w:r>
              <w:rPr>
                <w:rFonts w:hint="eastAsia" w:ascii="Times New Roman" w:eastAsia="仿宋_GB2312"/>
                <w:sz w:val="32"/>
                <w:szCs w:val="32"/>
              </w:rPr>
              <w:t>中国石油天然气股份有限公司辽河油田分公司大平房油田矿山地质环境保护与土地复垦方案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b/>
                <w:sz w:val="32"/>
                <w:szCs w:val="32"/>
              </w:rPr>
            </w:pPr>
            <w:r>
              <w:rPr>
                <w:rFonts w:hint="default" w:ascii="Times New Roman" w:hAnsi="Times New Roman" w:eastAsia="仿宋_GB2312"/>
                <w:b/>
                <w:sz w:val="32"/>
                <w:szCs w:val="32"/>
              </w:rPr>
              <w:t>5</w:t>
            </w:r>
          </w:p>
        </w:tc>
        <w:tc>
          <w:tcPr>
            <w:tcW w:w="7471" w:type="dxa"/>
            <w:noWrap w:val="0"/>
            <w:vAlign w:val="center"/>
          </w:tcPr>
          <w:p>
            <w:pPr>
              <w:rPr>
                <w:rFonts w:hint="default" w:eastAsia="仿宋_GB2312"/>
                <w:sz w:val="32"/>
                <w:szCs w:val="32"/>
              </w:rPr>
            </w:pPr>
            <w:r>
              <w:rPr>
                <w:rFonts w:hint="eastAsia" w:ascii="Times New Roman" w:eastAsia="仿宋_GB2312"/>
                <w:sz w:val="32"/>
                <w:szCs w:val="32"/>
              </w:rPr>
              <w:t>中国石油天然气股份有限公司辽河油田分公司铁匠炉油田矿山地质环境保护与土地复垦方案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b/>
                <w:sz w:val="32"/>
                <w:szCs w:val="32"/>
              </w:rPr>
            </w:pPr>
            <w:r>
              <w:rPr>
                <w:rFonts w:hint="default" w:ascii="Times New Roman" w:hAnsi="Times New Roman" w:eastAsia="仿宋_GB2312"/>
                <w:b/>
                <w:sz w:val="32"/>
                <w:szCs w:val="32"/>
              </w:rPr>
              <w:t>6</w:t>
            </w:r>
          </w:p>
        </w:tc>
        <w:tc>
          <w:tcPr>
            <w:tcW w:w="7471" w:type="dxa"/>
            <w:noWrap w:val="0"/>
            <w:vAlign w:val="center"/>
          </w:tcPr>
          <w:p>
            <w:pPr>
              <w:rPr>
                <w:rFonts w:hint="default" w:eastAsia="仿宋_GB2312"/>
                <w:sz w:val="32"/>
                <w:szCs w:val="32"/>
              </w:rPr>
            </w:pPr>
            <w:r>
              <w:rPr>
                <w:rFonts w:hint="eastAsia" w:ascii="Times New Roman" w:eastAsia="仿宋_GB2312"/>
                <w:sz w:val="32"/>
                <w:szCs w:val="32"/>
              </w:rPr>
              <w:t>中国石油天然气股份有限公司辽河油田分公司笔架岭油田矿山地质环境保护与土地复垦方案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b/>
                <w:sz w:val="32"/>
                <w:szCs w:val="32"/>
              </w:rPr>
            </w:pPr>
            <w:r>
              <w:rPr>
                <w:rFonts w:hint="default" w:ascii="Times New Roman" w:hAnsi="Times New Roman" w:eastAsia="仿宋_GB2312"/>
                <w:b/>
                <w:sz w:val="32"/>
                <w:szCs w:val="32"/>
              </w:rPr>
              <w:t>7</w:t>
            </w:r>
          </w:p>
        </w:tc>
        <w:tc>
          <w:tcPr>
            <w:tcW w:w="7471" w:type="dxa"/>
            <w:noWrap w:val="0"/>
            <w:vAlign w:val="center"/>
          </w:tcPr>
          <w:p>
            <w:pPr>
              <w:rPr>
                <w:rFonts w:hint="default" w:eastAsia="仿宋_GB2312"/>
                <w:sz w:val="32"/>
                <w:szCs w:val="32"/>
              </w:rPr>
            </w:pPr>
            <w:r>
              <w:rPr>
                <w:rFonts w:hint="eastAsia" w:ascii="Times New Roman" w:eastAsia="仿宋_GB2312"/>
                <w:sz w:val="32"/>
                <w:szCs w:val="32"/>
              </w:rPr>
              <w:t>中国石油化工股份有限公司西南油气分公司四川省四川盆地大邑天然气开采矿山地质环境保护与土地复垦方案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ascii="Times New Roman" w:hAnsi="Times New Roman" w:eastAsia="仿宋_GB2312"/>
                <w:b/>
                <w:sz w:val="32"/>
                <w:szCs w:val="32"/>
              </w:rPr>
            </w:pPr>
            <w:r>
              <w:rPr>
                <w:rFonts w:hint="default" w:ascii="Times New Roman" w:hAnsi="Times New Roman" w:eastAsia="仿宋_GB2312"/>
                <w:b/>
                <w:sz w:val="32"/>
                <w:szCs w:val="32"/>
              </w:rPr>
              <w:t>8</w:t>
            </w:r>
          </w:p>
        </w:tc>
        <w:tc>
          <w:tcPr>
            <w:tcW w:w="7471" w:type="dxa"/>
            <w:noWrap w:val="0"/>
            <w:vAlign w:val="center"/>
          </w:tcPr>
          <w:p>
            <w:pPr>
              <w:rPr>
                <w:rFonts w:ascii="Times New Roman" w:hAnsi="Times New Roman" w:eastAsia="仿宋_GB2312"/>
                <w:sz w:val="32"/>
                <w:szCs w:val="32"/>
              </w:rPr>
            </w:pPr>
            <w:r>
              <w:rPr>
                <w:rFonts w:hint="eastAsia" w:ascii="Times New Roman" w:hAnsi="Times New Roman" w:eastAsia="仿宋_GB2312"/>
                <w:sz w:val="32"/>
                <w:szCs w:val="32"/>
              </w:rPr>
              <w:t>中国石油化工股份有限公司西南油气分公司四川省四川盆地元坝气田Ⅱ区矿山地质环境保护与土地复垦方案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ascii="Times New Roman" w:hAnsi="Times New Roman" w:eastAsia="仿宋_GB2312"/>
                <w:b/>
                <w:sz w:val="32"/>
                <w:szCs w:val="32"/>
              </w:rPr>
            </w:pPr>
            <w:r>
              <w:rPr>
                <w:rFonts w:ascii="Times New Roman" w:hAnsi="Times New Roman" w:eastAsia="仿宋_GB2312"/>
                <w:b/>
                <w:sz w:val="32"/>
                <w:szCs w:val="32"/>
              </w:rPr>
              <w:t>9</w:t>
            </w:r>
          </w:p>
        </w:tc>
        <w:tc>
          <w:tcPr>
            <w:tcW w:w="7471" w:type="dxa"/>
            <w:noWrap w:val="0"/>
            <w:vAlign w:val="center"/>
          </w:tcPr>
          <w:p>
            <w:pPr>
              <w:rPr>
                <w:rFonts w:hint="eastAsia" w:ascii="Times New Roman" w:hAnsi="Times New Roman" w:eastAsia="仿宋_GB2312"/>
                <w:sz w:val="32"/>
                <w:szCs w:val="32"/>
              </w:rPr>
            </w:pPr>
            <w:r>
              <w:rPr>
                <w:rFonts w:hint="eastAsia" w:ascii="Times New Roman" w:hAnsi="Times New Roman" w:eastAsia="仿宋_GB2312"/>
                <w:sz w:val="32"/>
                <w:szCs w:val="32"/>
              </w:rPr>
              <w:t>中国石油天然气股份有限公司辽河油田分公司青海柴达木盆地昆北切4切16区块油田矿山地质环境保护与土地复垦方案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ascii="Times New Roman" w:hAnsi="Times New Roman" w:eastAsia="仿宋_GB2312"/>
                <w:b/>
                <w:sz w:val="32"/>
                <w:szCs w:val="32"/>
              </w:rPr>
            </w:pPr>
            <w:r>
              <w:rPr>
                <w:rFonts w:ascii="Times New Roman" w:hAnsi="Times New Roman" w:eastAsia="仿宋_GB2312"/>
                <w:b/>
                <w:sz w:val="32"/>
                <w:szCs w:val="32"/>
              </w:rPr>
              <w:t>10</w:t>
            </w:r>
          </w:p>
        </w:tc>
        <w:tc>
          <w:tcPr>
            <w:tcW w:w="7471" w:type="dxa"/>
            <w:noWrap w:val="0"/>
            <w:vAlign w:val="center"/>
          </w:tcPr>
          <w:p>
            <w:pPr>
              <w:rPr>
                <w:rFonts w:hint="eastAsia" w:ascii="Times New Roman" w:hAnsi="Times New Roman" w:eastAsia="仿宋_GB2312"/>
                <w:sz w:val="32"/>
                <w:szCs w:val="32"/>
              </w:rPr>
            </w:pPr>
            <w:r>
              <w:rPr>
                <w:rFonts w:hint="eastAsia" w:ascii="Times New Roman" w:hAnsi="Times New Roman" w:eastAsia="仿宋_GB2312"/>
                <w:sz w:val="32"/>
                <w:szCs w:val="32"/>
              </w:rPr>
              <w:t>中国石油天然气股份有限公司辽河油田分公司青海柴达木盆地红柳泉油田矿山地质环境保护与土地复垦方案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ascii="Times New Roman" w:hAnsi="Times New Roman" w:eastAsia="仿宋_GB2312"/>
                <w:b/>
                <w:sz w:val="32"/>
                <w:szCs w:val="32"/>
              </w:rPr>
            </w:pPr>
            <w:r>
              <w:rPr>
                <w:rFonts w:hint="eastAsia" w:ascii="Times New Roman" w:hAnsi="Times New Roman" w:eastAsia="仿宋_GB2312"/>
                <w:b/>
                <w:sz w:val="32"/>
                <w:szCs w:val="32"/>
              </w:rPr>
              <w:t>11</w:t>
            </w:r>
          </w:p>
        </w:tc>
        <w:tc>
          <w:tcPr>
            <w:tcW w:w="7471" w:type="dxa"/>
            <w:noWrap w:val="0"/>
            <w:vAlign w:val="center"/>
          </w:tcPr>
          <w:p>
            <w:pPr>
              <w:rPr>
                <w:rFonts w:ascii="Times New Roman" w:hAnsi="Times New Roman" w:eastAsia="仿宋_GB2312"/>
                <w:sz w:val="32"/>
                <w:szCs w:val="32"/>
              </w:rPr>
            </w:pPr>
            <w:r>
              <w:rPr>
                <w:rFonts w:hint="eastAsia" w:ascii="Times New Roman" w:hAnsi="Times New Roman" w:eastAsia="仿宋_GB2312"/>
                <w:sz w:val="32"/>
                <w:szCs w:val="32"/>
              </w:rPr>
              <w:t>中国石油天然气股份有限公司西南油气田分公司川渝四川盆地高石梯区块高石19井区天然气开采项目矿山地质环境保护与土地复垦方案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ascii="Times New Roman" w:hAnsi="Times New Roman" w:eastAsia="仿宋_GB2312"/>
                <w:b/>
                <w:sz w:val="32"/>
                <w:szCs w:val="32"/>
              </w:rPr>
            </w:pPr>
            <w:r>
              <w:rPr>
                <w:rFonts w:hint="eastAsia" w:ascii="Times New Roman" w:hAnsi="Times New Roman" w:eastAsia="仿宋_GB2312"/>
                <w:b/>
                <w:sz w:val="32"/>
                <w:szCs w:val="32"/>
              </w:rPr>
              <w:t>12</w:t>
            </w:r>
          </w:p>
        </w:tc>
        <w:tc>
          <w:tcPr>
            <w:tcW w:w="7471" w:type="dxa"/>
            <w:noWrap w:val="0"/>
            <w:vAlign w:val="center"/>
          </w:tcPr>
          <w:p>
            <w:pPr>
              <w:rPr>
                <w:rFonts w:ascii="Times New Roman" w:hAnsi="Times New Roman" w:eastAsia="仿宋_GB2312"/>
                <w:sz w:val="32"/>
                <w:szCs w:val="32"/>
              </w:rPr>
            </w:pPr>
            <w:r>
              <w:rPr>
                <w:rFonts w:hint="eastAsia" w:ascii="Times New Roman" w:hAnsi="Times New Roman" w:eastAsia="仿宋_GB2312"/>
                <w:sz w:val="32"/>
                <w:szCs w:val="32"/>
              </w:rPr>
              <w:t>中国石油天然气股份有限公司玉门油田分公司甘肃省酒泉盆地单北油田开采矿山地质环境保护与土地复垦方案</w:t>
            </w:r>
          </w:p>
        </w:tc>
      </w:tr>
    </w:tbl>
    <w:p>
      <w:pPr>
        <w:spacing w:line="700" w:lineRule="exact"/>
        <w:jc w:val="center"/>
        <w:rPr>
          <w:rFonts w:eastAsia="方正小标宋_GBK"/>
          <w:sz w:val="44"/>
          <w:szCs w:val="4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805D3"/>
    <w:rsid w:val="6E48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2020-08-11T07:50:00Z</dcterms:created>
  <dc:creator>陈卉(陈卉:)</dc:creator>
  <cp:lastModifiedBy>陈卉(陈卉:)</cp:lastModifiedBy>
  <dcterms:modified xsi:type="dcterms:W3CDTF">2020-08-11T07:50:34Z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