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附件2 </w:t>
      </w:r>
    </w:p>
    <w:p>
      <w:pPr>
        <w:widowControl/>
        <w:spacing w:line="720" w:lineRule="exact"/>
        <w:jc w:val="center"/>
        <w:rPr>
          <w:rFonts w:hint="eastAsia" w:ascii="方正小标宋_GBK" w:eastAsia="方正小标宋_GBK"/>
          <w:kern w:val="0"/>
          <w:sz w:val="32"/>
          <w:szCs w:val="32"/>
        </w:rPr>
      </w:pPr>
      <w:r>
        <w:rPr>
          <w:rFonts w:hint="eastAsia" w:ascii="方正小标宋_GBK" w:eastAsia="方正小标宋_GBK"/>
          <w:kern w:val="0"/>
          <w:sz w:val="32"/>
          <w:szCs w:val="32"/>
        </w:rPr>
        <w:t>2020年度省（自治区）钨矿开采总量控制指标</w:t>
      </w:r>
    </w:p>
    <w:tbl>
      <w:tblPr>
        <w:tblStyle w:val="3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0"/>
        <w:gridCol w:w="2700"/>
        <w:gridCol w:w="3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号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省(自治区)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钨精矿（三氧化钨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含量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65％，吨）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主  采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综合利用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内蒙古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黑龙江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浙  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安  徽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福  建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2730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江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36050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河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  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湖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20900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  东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3300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云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陕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甘  肃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2090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  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合  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26850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总  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105000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573E2"/>
    <w:rsid w:val="0785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2020-07-15T08:22:00Z</dcterms:created>
  <dc:creator>chenhui</dc:creator>
  <cp:lastModifiedBy>chenhui</cp:lastModifiedBy>
  <dcterms:modified xsi:type="dcterms:W3CDTF">2020-07-15T08:22:39Z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