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eastAsia="黑体"/>
          <w:sz w:val="32"/>
          <w:szCs w:val="32"/>
        </w:rPr>
      </w:pPr>
      <w:r>
        <w:rPr>
          <w:rFonts w:eastAsia="黑体"/>
          <w:sz w:val="32"/>
          <w:szCs w:val="32"/>
        </w:rPr>
        <w:t>附件</w:t>
      </w:r>
      <w:r>
        <w:rPr>
          <w:rFonts w:hint="eastAsia" w:eastAsia="黑体"/>
          <w:sz w:val="32"/>
          <w:szCs w:val="32"/>
        </w:rPr>
        <w:t>:</w:t>
      </w:r>
    </w:p>
    <w:p>
      <w:pPr>
        <w:spacing w:line="700" w:lineRule="exact"/>
        <w:jc w:val="center"/>
        <w:rPr>
          <w:rFonts w:eastAsia="方正小标宋_GBK"/>
          <w:sz w:val="44"/>
          <w:szCs w:val="44"/>
        </w:rPr>
      </w:pPr>
      <w:r>
        <w:rPr>
          <w:rFonts w:hint="eastAsia" w:eastAsia="方正小标宋_GBK"/>
          <w:sz w:val="44"/>
          <w:szCs w:val="44"/>
        </w:rPr>
        <w:t>11</w:t>
      </w:r>
      <w:r>
        <w:rPr>
          <w:rFonts w:eastAsia="方正小标宋_GBK"/>
          <w:sz w:val="44"/>
          <w:szCs w:val="44"/>
        </w:rPr>
        <w:t>个通过审查的矿山地质环境保护</w:t>
      </w:r>
    </w:p>
    <w:p>
      <w:pPr>
        <w:spacing w:line="700" w:lineRule="exact"/>
        <w:jc w:val="center"/>
        <w:rPr>
          <w:rFonts w:eastAsia="方正小标宋_GBK"/>
          <w:sz w:val="44"/>
          <w:szCs w:val="44"/>
        </w:rPr>
      </w:pPr>
      <w:r>
        <w:rPr>
          <w:rFonts w:eastAsia="方正小标宋_GBK"/>
          <w:sz w:val="44"/>
          <w:szCs w:val="44"/>
        </w:rPr>
        <w:t>与土地复垦方案名单</w:t>
      </w:r>
      <w:bookmarkStart w:id="0" w:name="_GoBack"/>
      <w:bookmarkEnd w:id="0"/>
    </w:p>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7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32"/>
                <w:szCs w:val="32"/>
              </w:rPr>
            </w:pPr>
            <w:r>
              <w:rPr>
                <w:rFonts w:hint="eastAsia" w:eastAsia="仿宋_GB2312"/>
                <w:b/>
                <w:sz w:val="32"/>
                <w:szCs w:val="32"/>
              </w:rPr>
              <w:t>序号</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32"/>
                <w:szCs w:val="32"/>
              </w:rPr>
            </w:pPr>
            <w:r>
              <w:rPr>
                <w:rFonts w:hint="eastAsia" w:eastAsia="仿宋_GB2312"/>
                <w:b/>
                <w:bCs/>
                <w:sz w:val="32"/>
                <w:szCs w:val="32"/>
              </w:rPr>
              <w:t>方案名称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_GB2312"/>
                <w:b/>
                <w:sz w:val="32"/>
                <w:szCs w:val="32"/>
              </w:rPr>
            </w:pPr>
            <w:r>
              <w:rPr>
                <w:rFonts w:hint="eastAsia" w:eastAsia="仿宋_GB2312"/>
                <w:b/>
                <w:sz w:val="32"/>
                <w:szCs w:val="32"/>
              </w:rPr>
              <w:t>1</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仿宋_GB2312"/>
                <w:sz w:val="32"/>
                <w:szCs w:val="32"/>
              </w:rPr>
            </w:pPr>
            <w:r>
              <w:rPr>
                <w:rFonts w:hint="eastAsia" w:eastAsia="仿宋_GB2312"/>
                <w:sz w:val="32"/>
                <w:szCs w:val="32"/>
              </w:rPr>
              <w:t>中国石油天然气股份有限公司西南油气田分公司重庆市四川盆地永安场气田开采矿山地质环境保护与土地复垦方案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_GB2312"/>
                <w:b/>
                <w:sz w:val="32"/>
                <w:szCs w:val="32"/>
              </w:rPr>
            </w:pPr>
            <w:r>
              <w:rPr>
                <w:rFonts w:hint="eastAsia" w:eastAsia="仿宋_GB2312"/>
                <w:b/>
                <w:sz w:val="32"/>
                <w:szCs w:val="32"/>
              </w:rPr>
              <w:t>2</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仿宋_GB2312"/>
                <w:sz w:val="32"/>
                <w:szCs w:val="32"/>
              </w:rPr>
            </w:pPr>
            <w:r>
              <w:rPr>
                <w:rFonts w:hint="eastAsia" w:eastAsia="仿宋_GB2312"/>
                <w:sz w:val="32"/>
                <w:szCs w:val="32"/>
              </w:rPr>
              <w:t>中国石油天然气股份有限公司西南油气田分公司四川省四川盆地牟家坪气田开采矿山地质环境保护与土地复垦方案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_GB2312"/>
                <w:b/>
                <w:sz w:val="32"/>
                <w:szCs w:val="32"/>
              </w:rPr>
            </w:pPr>
            <w:r>
              <w:rPr>
                <w:rFonts w:hint="eastAsia" w:eastAsia="仿宋_GB2312"/>
                <w:b/>
                <w:sz w:val="32"/>
                <w:szCs w:val="32"/>
              </w:rPr>
              <w:t>3</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仿宋_GB2312"/>
                <w:sz w:val="32"/>
                <w:szCs w:val="32"/>
              </w:rPr>
            </w:pPr>
            <w:r>
              <w:rPr>
                <w:rFonts w:hint="eastAsia" w:eastAsia="仿宋_GB2312"/>
                <w:sz w:val="32"/>
                <w:szCs w:val="32"/>
              </w:rPr>
              <w:t>中国石油天然气股份有限公司西南油气田分公司四川省四川盆地白节滩气田开采矿山地质环境保护与土地复垦方案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_GB2312"/>
                <w:b/>
                <w:sz w:val="32"/>
                <w:szCs w:val="32"/>
              </w:rPr>
            </w:pPr>
            <w:r>
              <w:rPr>
                <w:rFonts w:hint="eastAsia" w:eastAsia="仿宋_GB2312"/>
                <w:b/>
                <w:sz w:val="32"/>
                <w:szCs w:val="32"/>
              </w:rPr>
              <w:t>4</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仿宋_GB2312"/>
                <w:sz w:val="32"/>
                <w:szCs w:val="32"/>
              </w:rPr>
            </w:pPr>
            <w:r>
              <w:rPr>
                <w:rFonts w:hint="eastAsia" w:eastAsia="仿宋_GB2312"/>
                <w:sz w:val="32"/>
                <w:szCs w:val="32"/>
              </w:rPr>
              <w:t>中国石油天然气股份有限公司西南油气田分公司四川省四川盆地九奎山气田开采矿山地质环境保护与土地复垦方案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_GB2312"/>
                <w:b/>
                <w:sz w:val="32"/>
                <w:szCs w:val="32"/>
              </w:rPr>
            </w:pPr>
            <w:r>
              <w:rPr>
                <w:rFonts w:hint="eastAsia" w:eastAsia="仿宋_GB2312"/>
                <w:b/>
                <w:sz w:val="32"/>
                <w:szCs w:val="32"/>
              </w:rPr>
              <w:t>5</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仿宋_GB2312"/>
                <w:sz w:val="32"/>
                <w:szCs w:val="32"/>
              </w:rPr>
            </w:pPr>
            <w:r>
              <w:rPr>
                <w:rFonts w:hint="eastAsia" w:eastAsia="仿宋_GB2312"/>
                <w:sz w:val="32"/>
                <w:szCs w:val="32"/>
              </w:rPr>
              <w:t>中国石油天然气股份有限公司西南油气田分公司川渝四川盆地塘河气田开采矿山地质环境保护与土地复垦方案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_GB2312"/>
                <w:b/>
                <w:sz w:val="32"/>
                <w:szCs w:val="32"/>
              </w:rPr>
            </w:pPr>
            <w:r>
              <w:rPr>
                <w:rFonts w:hint="eastAsia" w:eastAsia="仿宋_GB2312"/>
                <w:b/>
                <w:sz w:val="32"/>
                <w:szCs w:val="32"/>
              </w:rPr>
              <w:t>6</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仿宋_GB2312"/>
                <w:sz w:val="32"/>
                <w:szCs w:val="32"/>
              </w:rPr>
            </w:pPr>
            <w:r>
              <w:rPr>
                <w:rFonts w:hint="eastAsia" w:eastAsia="仿宋_GB2312"/>
                <w:sz w:val="32"/>
                <w:szCs w:val="32"/>
              </w:rPr>
              <w:t>中国石油天然气股份有限公司西南油气田分公司四川省四川盆地亭子铺气田矿山地质环境保护与土地复垦方案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_GB2312"/>
                <w:b/>
                <w:sz w:val="32"/>
                <w:szCs w:val="32"/>
              </w:rPr>
            </w:pPr>
            <w:r>
              <w:rPr>
                <w:rFonts w:hint="eastAsia" w:eastAsia="仿宋_GB2312"/>
                <w:b/>
                <w:sz w:val="32"/>
                <w:szCs w:val="32"/>
              </w:rPr>
              <w:t>7</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仿宋_GB2312"/>
                <w:sz w:val="32"/>
                <w:szCs w:val="32"/>
              </w:rPr>
            </w:pPr>
            <w:r>
              <w:rPr>
                <w:rFonts w:hint="eastAsia" w:eastAsia="仿宋_GB2312"/>
                <w:sz w:val="32"/>
                <w:szCs w:val="32"/>
              </w:rPr>
              <w:t>中国石油天然气股份有限公司西南油气田分公司四川省四川盆地茶园寺天然气开采矿山地质环境保护与土地复垦方案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_GB2312"/>
                <w:b/>
                <w:sz w:val="32"/>
                <w:szCs w:val="32"/>
              </w:rPr>
            </w:pPr>
            <w:r>
              <w:rPr>
                <w:rFonts w:hint="eastAsia" w:eastAsia="仿宋_GB2312"/>
                <w:b/>
                <w:sz w:val="32"/>
                <w:szCs w:val="32"/>
              </w:rPr>
              <w:t>8</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 w:val="32"/>
                <w:szCs w:val="32"/>
              </w:rPr>
            </w:pPr>
            <w:r>
              <w:rPr>
                <w:rFonts w:hint="eastAsia" w:eastAsia="仿宋_GB2312"/>
                <w:sz w:val="32"/>
                <w:szCs w:val="32"/>
              </w:rPr>
              <w:t>中国石油天然气股份有限公司西南油气田分公司川渝四川盆地罗家寨气田黄龙场区块开采矿山地质环境保护与土地复垦方案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_GB2312"/>
                <w:b/>
                <w:sz w:val="32"/>
                <w:szCs w:val="32"/>
              </w:rPr>
            </w:pPr>
            <w:r>
              <w:rPr>
                <w:rFonts w:hint="eastAsia" w:eastAsia="仿宋_GB2312"/>
                <w:b/>
                <w:sz w:val="32"/>
                <w:szCs w:val="32"/>
              </w:rPr>
              <w:t>9</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 w:val="32"/>
                <w:szCs w:val="32"/>
              </w:rPr>
            </w:pPr>
            <w:r>
              <w:rPr>
                <w:rFonts w:hint="eastAsia" w:eastAsia="仿宋_GB2312"/>
                <w:sz w:val="32"/>
                <w:szCs w:val="32"/>
              </w:rPr>
              <w:t>中国石油天然气股份有限公司大庆油田有限责任公司黑龙江省松辽盆地新站油田矿山地质环境保护与土地复垦方案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_GB2312"/>
                <w:b/>
                <w:sz w:val="32"/>
                <w:szCs w:val="32"/>
              </w:rPr>
            </w:pPr>
            <w:r>
              <w:rPr>
                <w:rFonts w:hint="eastAsia" w:eastAsia="仿宋_GB2312"/>
                <w:b/>
                <w:sz w:val="32"/>
                <w:szCs w:val="32"/>
              </w:rPr>
              <w:t>10</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 w:val="32"/>
                <w:szCs w:val="32"/>
              </w:rPr>
            </w:pPr>
            <w:r>
              <w:rPr>
                <w:rFonts w:hint="eastAsia" w:eastAsia="仿宋_GB2312"/>
                <w:sz w:val="32"/>
                <w:szCs w:val="32"/>
              </w:rPr>
              <w:t>中国石油天然气股份有限公司大庆油田有限责任公司黑龙江省松辽盆地龙虎泡油田矿山地质环境保护与土地复垦方案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_GB2312"/>
                <w:b/>
                <w:sz w:val="32"/>
                <w:szCs w:val="32"/>
              </w:rPr>
            </w:pPr>
            <w:r>
              <w:rPr>
                <w:rFonts w:hint="eastAsia" w:eastAsia="仿宋_GB2312"/>
                <w:b/>
                <w:sz w:val="32"/>
                <w:szCs w:val="32"/>
              </w:rPr>
              <w:t>11</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 w:val="32"/>
                <w:szCs w:val="32"/>
              </w:rPr>
            </w:pPr>
            <w:r>
              <w:rPr>
                <w:rFonts w:hint="eastAsia" w:eastAsia="仿宋_GB2312"/>
                <w:sz w:val="32"/>
                <w:szCs w:val="32"/>
              </w:rPr>
              <w:t>西昌志能实业有限责任公司德昌县大陆槽稀土矿矿山地质环境保护与土地复垦方案</w:t>
            </w:r>
          </w:p>
        </w:tc>
      </w:tr>
    </w:tbl>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73316"/>
    <w:rsid w:val="3957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2020-07-10T08:53:00Z</dcterms:created>
  <dc:creator>chenhui</dc:creator>
  <cp:lastModifiedBy>chenhui</cp:lastModifiedBy>
  <dcterms:modified xsi:type="dcterms:W3CDTF">2020-07-10T08:54:02Z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