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beforeAutospacing="0" w:after="0" w:afterAutospacing="0"/>
        <w:jc w:val="both"/>
        <w:rPr>
          <w:rStyle w:val="5"/>
          <w:rFonts w:ascii="Times New Roman" w:hAnsi="Times New Roman" w:eastAsia="黑体"/>
          <w:b w:val="0"/>
          <w:color w:val="333333"/>
          <w:sz w:val="32"/>
          <w:szCs w:val="32"/>
        </w:rPr>
      </w:pPr>
      <w:r>
        <w:rPr>
          <w:rStyle w:val="5"/>
          <w:rFonts w:hint="eastAsia" w:ascii="Times New Roman" w:hAnsi="黑体" w:eastAsia="黑体"/>
          <w:b w:val="0"/>
          <w:color w:val="333333"/>
          <w:sz w:val="32"/>
          <w:szCs w:val="32"/>
        </w:rPr>
        <w:t>附件</w:t>
      </w:r>
      <w:r>
        <w:rPr>
          <w:rStyle w:val="5"/>
          <w:rFonts w:ascii="Times New Roman" w:hAnsi="Times New Roman" w:eastAsia="黑体"/>
          <w:b w:val="0"/>
          <w:color w:val="333333"/>
          <w:sz w:val="32"/>
          <w:szCs w:val="32"/>
        </w:rPr>
        <w:t>1</w:t>
      </w:r>
    </w:p>
    <w:p>
      <w:pPr>
        <w:pStyle w:val="2"/>
        <w:adjustRightInd w:val="0"/>
        <w:snapToGrid w:val="0"/>
        <w:spacing w:before="0" w:beforeAutospacing="0" w:after="0" w:afterAutospacing="0"/>
        <w:jc w:val="center"/>
        <w:rPr>
          <w:rStyle w:val="5"/>
          <w:rFonts w:ascii="Times New Roman" w:hAnsi="Times New Roman" w:eastAsia="方正小标宋_GBK"/>
          <w:b w:val="0"/>
          <w:color w:val="333333"/>
          <w:sz w:val="44"/>
          <w:szCs w:val="36"/>
        </w:rPr>
      </w:pPr>
    </w:p>
    <w:p>
      <w:pPr>
        <w:pStyle w:val="2"/>
        <w:adjustRightInd w:val="0"/>
        <w:snapToGrid w:val="0"/>
        <w:spacing w:before="0" w:beforeAutospacing="0" w:after="0" w:afterAutospacing="0"/>
        <w:jc w:val="center"/>
        <w:rPr>
          <w:rStyle w:val="5"/>
          <w:rFonts w:ascii="Times New Roman" w:hAnsi="Times New Roman" w:eastAsia="方正小标宋_GBK"/>
          <w:b w:val="0"/>
          <w:color w:val="333333"/>
          <w:sz w:val="44"/>
          <w:szCs w:val="36"/>
        </w:rPr>
      </w:pPr>
      <w:r>
        <w:rPr>
          <w:rStyle w:val="5"/>
          <w:rFonts w:hint="eastAsia" w:ascii="Times New Roman" w:hAnsi="Times New Roman" w:eastAsia="方正小标宋_GBK"/>
          <w:b w:val="0"/>
          <w:color w:val="333333"/>
          <w:sz w:val="44"/>
          <w:szCs w:val="36"/>
        </w:rPr>
        <w:t>选题参考方向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rPr>
          <w:rStyle w:val="5"/>
          <w:rFonts w:ascii="Times New Roman" w:hAnsi="Times New Roman" w:eastAsia="仿宋_GB2312"/>
          <w:b w:val="0"/>
          <w:color w:val="333333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一、新时代背景下矿产资源在经济社会发展大局中的战略定位与作用。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二、当前我国矿产资源开发利用面临的主要矛盾和问题。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三、新产业新技术新材料发展对矿产资源供需的影响。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四、矿业高质量发展的思路、任务和措施。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五</w:t>
      </w:r>
      <w:bookmarkStart w:id="0" w:name="OLE_LINK5"/>
      <w:r>
        <w:rPr>
          <w:rFonts w:hint="eastAsia" w:ascii="仿宋_GB2312" w:hAnsi="Times New Roman" w:eastAsia="仿宋_GB2312"/>
          <w:sz w:val="32"/>
          <w:szCs w:val="32"/>
        </w:rPr>
        <w:t>、矿产资源循环利用对资源安全保障的支撑作用</w:t>
      </w:r>
      <w:bookmarkEnd w:id="0"/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六、矿业绿色发展的模式总结和政策建议。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七、矿产资源国际合作的思路和政策建议。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八、矿产资源管理改革的方向和重点。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九、国土空间规划改革背景下，矿产资源规划编制的理论、技术和方法。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十、矿业权设置区划的技术方法。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十一、提升矿业市场活力和动力的举措。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十二、矿产资源开发保护与其他自然资源利用保护的协调处置规则。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B2B7F"/>
    <w:rsid w:val="206B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2019-04-08T08:03:00Z</dcterms:created>
  <dc:creator>侯一俊(侯一俊:)</dc:creator>
  <cp:lastModifiedBy>侯一俊(侯一俊:)</cp:lastModifiedBy>
  <dcterms:modified xsi:type="dcterms:W3CDTF">2019-04-08T08:03:48Z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