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84" w:lineRule="atLeast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384" w:lineRule="atLeas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after="312" w:afterLines="100"/>
        <w:jc w:val="center"/>
        <w:rPr>
          <w:rFonts w:hint="eastAsia" w:ascii="方正小标宋_GBK" w:hAnsi="宋体" w:eastAsia="方正小标宋_GBK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/>
          <w:color w:val="000000"/>
          <w:kern w:val="0"/>
          <w:sz w:val="36"/>
          <w:szCs w:val="36"/>
        </w:rPr>
        <w:t>国务院大督查用地计划指标奖励市县名单</w:t>
      </w:r>
    </w:p>
    <w:bookmarkEnd w:id="0"/>
    <w:tbl>
      <w:tblPr>
        <w:tblStyle w:val="5"/>
        <w:tblW w:w="82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2918"/>
        <w:gridCol w:w="1194"/>
        <w:gridCol w:w="2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推荐名单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北京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海淀区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房山区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湖南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株洲市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上海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奉贤区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金山区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广东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佛山市顺德区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广州市南沙区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浙江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湖州市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重庆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万州区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沙坪坝区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安徽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合肥市</w:t>
            </w:r>
            <w:r>
              <w:rPr>
                <w:rFonts w:eastAsia="仿宋_GB2312"/>
                <w:kern w:val="0"/>
                <w:sz w:val="28"/>
                <w:szCs w:val="28"/>
              </w:rPr>
              <w:t>肥西县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芜湖市</w:t>
            </w:r>
            <w:r>
              <w:rPr>
                <w:rFonts w:eastAsia="仿宋_GB2312"/>
                <w:kern w:val="0"/>
                <w:sz w:val="28"/>
                <w:szCs w:val="28"/>
              </w:rPr>
              <w:t>繁昌县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四川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眉山市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河南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郑州市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云南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昭通市镇雄县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曲靖市会泽县</w:t>
            </w:r>
          </w:p>
        </w:tc>
      </w:tr>
    </w:tbl>
    <w:p>
      <w:pPr>
        <w:widowControl/>
        <w:shd w:val="clear" w:color="auto" w:fill="FFFFFF"/>
        <w:spacing w:line="384" w:lineRule="atLeast"/>
        <w:jc w:val="center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434D6"/>
    <w:rsid w:val="1FB4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2019-03-29T08:44:00Z</dcterms:created>
  <dc:creator>侯一俊(侯一俊:)</dc:creator>
  <cp:lastModifiedBy>侯一俊(侯一俊:)</cp:lastModifiedBy>
  <dcterms:modified xsi:type="dcterms:W3CDTF">2019-03-29T08:46:24Z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