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黑体"/>
          <w:color w:val="000000"/>
          <w:szCs w:val="30"/>
          <w:shd w:val="clear" w:color="auto" w:fill="FFFFFF"/>
        </w:rPr>
      </w:pPr>
      <w:r>
        <w:rPr>
          <w:rFonts w:hint="eastAsia" w:eastAsia="黑体"/>
          <w:color w:val="000000"/>
          <w:szCs w:val="30"/>
          <w:shd w:val="clear" w:color="auto" w:fill="FFFFFF"/>
        </w:rPr>
        <w:t>附件</w:t>
      </w:r>
      <w:r>
        <w:rPr>
          <w:rFonts w:eastAsia="黑体"/>
          <w:color w:val="000000"/>
          <w:szCs w:val="30"/>
          <w:shd w:val="clear" w:color="auto" w:fill="FFFFFF"/>
        </w:rPr>
        <w:t>1</w:t>
      </w:r>
    </w:p>
    <w:p>
      <w:pPr>
        <w:pStyle w:val="6"/>
        <w:adjustRightInd w:val="0"/>
        <w:snapToGrid w:val="0"/>
        <w:outlineLvl w:val="0"/>
        <w:rPr>
          <w:rFonts w:ascii="方正小标宋简体" w:eastAsia="方正小标宋简体"/>
          <w:szCs w:val="44"/>
        </w:rPr>
      </w:pPr>
      <w:r>
        <w:rPr>
          <w:rFonts w:hint="eastAsia" w:ascii="方正小标宋简体" w:eastAsia="方正小标宋简体"/>
          <w:szCs w:val="44"/>
        </w:rPr>
        <w:t>内蒙古自治区矿业权交易实施细则（修订）</w:t>
      </w:r>
    </w:p>
    <w:p>
      <w:pPr>
        <w:pStyle w:val="6"/>
        <w:adjustRightInd w:val="0"/>
        <w:snapToGrid w:val="0"/>
        <w:outlineLvl w:val="0"/>
        <w:rPr>
          <w:rFonts w:ascii="楷体_GB2312" w:eastAsia="楷体_GB2312"/>
          <w:sz w:val="32"/>
          <w:szCs w:val="32"/>
        </w:rPr>
      </w:pPr>
      <w:r>
        <w:rPr>
          <w:rFonts w:hint="eastAsia" w:ascii="楷体_GB2312" w:eastAsia="楷体_GB2312"/>
          <w:sz w:val="32"/>
          <w:szCs w:val="32"/>
        </w:rPr>
        <w:t>（征求意见稿）</w:t>
      </w:r>
    </w:p>
    <w:p>
      <w:pPr>
        <w:pStyle w:val="6"/>
        <w:adjustRightInd w:val="0"/>
        <w:snapToGrid w:val="0"/>
        <w:outlineLvl w:val="0"/>
        <w:rPr>
          <w:rFonts w:ascii="楷体_GB2312" w:eastAsia="楷体_GB2312"/>
          <w:sz w:val="32"/>
          <w:szCs w:val="32"/>
        </w:rPr>
      </w:pPr>
      <w:bookmarkStart w:id="0" w:name="_GoBack"/>
      <w:bookmarkEnd w:id="0"/>
    </w:p>
    <w:p>
      <w:pPr>
        <w:pStyle w:val="7"/>
        <w:numPr>
          <w:ilvl w:val="0"/>
          <w:numId w:val="1"/>
        </w:numPr>
        <w:spacing w:line="600" w:lineRule="exact"/>
        <w:ind w:firstLineChars="0"/>
        <w:jc w:val="center"/>
        <w:rPr>
          <w:rFonts w:ascii="黑体" w:hAnsi="黑体" w:eastAsia="黑体"/>
          <w:shd w:val="clear" w:color="auto" w:fill="FFFFFF"/>
        </w:rPr>
      </w:pPr>
      <w:r>
        <w:rPr>
          <w:rFonts w:hint="eastAsia" w:ascii="黑体" w:hAnsi="黑体" w:eastAsia="黑体"/>
          <w:shd w:val="clear" w:color="auto" w:fill="FFFFFF"/>
        </w:rPr>
        <w:t>总则</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第一条 </w:t>
      </w:r>
      <w:r>
        <w:rPr>
          <w:rFonts w:hint="eastAsia"/>
          <w:color w:val="000000"/>
          <w:szCs w:val="32"/>
          <w:shd w:val="clear" w:color="auto" w:fill="FFFFFF"/>
        </w:rPr>
        <w:t>为进一步规范</w:t>
      </w:r>
      <w:r>
        <w:rPr>
          <w:color w:val="000000"/>
          <w:szCs w:val="32"/>
          <w:shd w:val="clear" w:color="auto" w:fill="FFFFFF"/>
        </w:rPr>
        <w:t>矿业权</w:t>
      </w:r>
      <w:r>
        <w:rPr>
          <w:rFonts w:hint="eastAsia"/>
          <w:color w:val="000000"/>
          <w:szCs w:val="32"/>
          <w:shd w:val="clear" w:color="auto" w:fill="FFFFFF"/>
        </w:rPr>
        <w:t>出让</w:t>
      </w:r>
      <w:r>
        <w:rPr>
          <w:color w:val="000000"/>
          <w:szCs w:val="32"/>
          <w:shd w:val="clear" w:color="auto" w:fill="FFFFFF"/>
        </w:rPr>
        <w:t>交易行为，确保矿业权</w:t>
      </w:r>
      <w:r>
        <w:rPr>
          <w:rFonts w:hint="eastAsia"/>
          <w:color w:val="000000"/>
          <w:szCs w:val="32"/>
          <w:shd w:val="clear" w:color="auto" w:fill="FFFFFF"/>
        </w:rPr>
        <w:t>出让</w:t>
      </w:r>
      <w:r>
        <w:rPr>
          <w:color w:val="000000"/>
          <w:szCs w:val="32"/>
          <w:shd w:val="clear" w:color="auto" w:fill="FFFFFF"/>
        </w:rPr>
        <w:t>交易公开、公平、公正，维护国家权益和矿业权人合法权益，根据《中华人民共和国矿产资源法》《中华人民共和国拍卖法》《中华人民共和国招标投标法》《中华人民共和国招标投标法实施条例》《矿产资源勘查区块登记管理办法》《矿产资源开采登记管理办法》以及《国务院办公厅关于印发整合建立统一的公共资源交易平台工作方案的通知》《国务院办公厅转发国家发展改革委关于深化公共资源交易平台整合共享指导意见的通知》</w:t>
      </w:r>
      <w:r>
        <w:rPr>
          <w:rFonts w:hint="eastAsia"/>
          <w:color w:val="000000"/>
          <w:szCs w:val="32"/>
          <w:shd w:val="clear" w:color="auto" w:fill="FFFFFF"/>
        </w:rPr>
        <w:t>《矿业权交易规则》</w:t>
      </w:r>
      <w:r>
        <w:rPr>
          <w:color w:val="000000"/>
          <w:szCs w:val="32"/>
          <w:shd w:val="clear" w:color="auto" w:fill="FFFFFF"/>
        </w:rPr>
        <w:t>等相关规定，制定本</w:t>
      </w:r>
      <w:r>
        <w:rPr>
          <w:rFonts w:hint="eastAsia"/>
          <w:color w:val="000000"/>
          <w:szCs w:val="32"/>
          <w:shd w:val="clear" w:color="auto" w:fill="FFFFFF"/>
        </w:rPr>
        <w:t>细则</w:t>
      </w:r>
      <w:r>
        <w:rPr>
          <w:color w:val="000000"/>
          <w:szCs w:val="32"/>
          <w:shd w:val="clear" w:color="auto" w:fill="FFFFFF"/>
        </w:rPr>
        <w:t>。</w:t>
      </w:r>
    </w:p>
    <w:p>
      <w:pPr>
        <w:adjustRightInd w:val="0"/>
        <w:snapToGrid w:val="0"/>
        <w:spacing w:line="600" w:lineRule="exact"/>
        <w:ind w:firstLine="640" w:firstLineChars="200"/>
        <w:rPr>
          <w:color w:val="000000"/>
          <w:szCs w:val="32"/>
        </w:rPr>
      </w:pPr>
      <w:r>
        <w:rPr>
          <w:rFonts w:hint="eastAsia" w:ascii="黑体" w:hAnsi="黑体" w:eastAsia="黑体"/>
          <w:color w:val="000000"/>
          <w:szCs w:val="32"/>
        </w:rPr>
        <w:t xml:space="preserve">第二条 </w:t>
      </w:r>
      <w:r>
        <w:rPr>
          <w:color w:val="000000"/>
          <w:szCs w:val="32"/>
        </w:rPr>
        <w:t>本</w:t>
      </w:r>
      <w:r>
        <w:rPr>
          <w:rFonts w:hint="eastAsia"/>
          <w:color w:val="000000"/>
          <w:szCs w:val="32"/>
        </w:rPr>
        <w:t>细则</w:t>
      </w:r>
      <w:r>
        <w:rPr>
          <w:color w:val="000000"/>
          <w:szCs w:val="32"/>
        </w:rPr>
        <w:t>所称矿业权是指探矿权和采矿权，矿业权</w:t>
      </w:r>
      <w:r>
        <w:rPr>
          <w:rFonts w:hint="eastAsia"/>
          <w:color w:val="000000"/>
          <w:szCs w:val="32"/>
        </w:rPr>
        <w:t>出让</w:t>
      </w:r>
      <w:r>
        <w:rPr>
          <w:color w:val="000000"/>
          <w:szCs w:val="32"/>
        </w:rPr>
        <w:t>交易是指</w:t>
      </w:r>
      <w:r>
        <w:rPr>
          <w:rFonts w:hint="eastAsia"/>
          <w:color w:val="000000"/>
          <w:szCs w:val="32"/>
        </w:rPr>
        <w:t>盟（市）、旗（县、区）级自然资源主管部门出让矿业权的行为。</w:t>
      </w:r>
    </w:p>
    <w:p>
      <w:pPr>
        <w:adjustRightInd w:val="0"/>
        <w:snapToGrid w:val="0"/>
        <w:spacing w:line="600" w:lineRule="exact"/>
        <w:ind w:firstLine="640" w:firstLineChars="200"/>
        <w:rPr>
          <w:color w:val="000000"/>
          <w:szCs w:val="32"/>
        </w:rPr>
      </w:pPr>
      <w:r>
        <w:rPr>
          <w:rFonts w:hint="eastAsia" w:ascii="黑体" w:hAnsi="黑体" w:eastAsia="黑体"/>
          <w:color w:val="000000"/>
          <w:szCs w:val="32"/>
        </w:rPr>
        <w:t xml:space="preserve">第三条 </w:t>
      </w:r>
      <w:r>
        <w:rPr>
          <w:rFonts w:hint="eastAsia"/>
          <w:color w:val="000000"/>
          <w:szCs w:val="32"/>
        </w:rPr>
        <w:t>内蒙古自治区行政区域内的</w:t>
      </w:r>
      <w:r>
        <w:rPr>
          <w:rFonts w:hint="eastAsia"/>
          <w:szCs w:val="32"/>
        </w:rPr>
        <w:t>自治区、盟（市）、旗（县、区）发证权限</w:t>
      </w:r>
      <w:r>
        <w:rPr>
          <w:rFonts w:hint="eastAsia"/>
          <w:color w:val="000000"/>
          <w:szCs w:val="32"/>
        </w:rPr>
        <w:t>矿业权出让交易</w:t>
      </w:r>
      <w:r>
        <w:rPr>
          <w:color w:val="000000"/>
          <w:szCs w:val="32"/>
        </w:rPr>
        <w:t>适用本</w:t>
      </w:r>
      <w:r>
        <w:rPr>
          <w:rFonts w:hint="eastAsia"/>
          <w:color w:val="000000"/>
          <w:szCs w:val="32"/>
        </w:rPr>
        <w:t>细</w:t>
      </w:r>
      <w:r>
        <w:rPr>
          <w:color w:val="000000"/>
          <w:szCs w:val="32"/>
        </w:rPr>
        <w:t>则，矿业权转让可参照执行。</w:t>
      </w:r>
    </w:p>
    <w:p>
      <w:pPr>
        <w:adjustRightInd w:val="0"/>
        <w:snapToGrid w:val="0"/>
        <w:spacing w:line="600" w:lineRule="exact"/>
        <w:ind w:firstLine="640" w:firstLineChars="200"/>
        <w:rPr>
          <w:color w:val="000000"/>
          <w:szCs w:val="32"/>
        </w:rPr>
      </w:pPr>
      <w:r>
        <w:rPr>
          <w:rFonts w:hint="eastAsia" w:ascii="黑体" w:hAnsi="黑体" w:eastAsia="黑体"/>
          <w:color w:val="000000"/>
          <w:szCs w:val="32"/>
        </w:rPr>
        <w:t xml:space="preserve">第四条 </w:t>
      </w:r>
      <w:r>
        <w:rPr>
          <w:color w:val="000000"/>
          <w:szCs w:val="32"/>
        </w:rPr>
        <w:t>矿业权</w:t>
      </w:r>
      <w:r>
        <w:rPr>
          <w:rFonts w:hint="eastAsia"/>
          <w:color w:val="000000"/>
          <w:szCs w:val="32"/>
        </w:rPr>
        <w:t>出让</w:t>
      </w:r>
      <w:r>
        <w:rPr>
          <w:color w:val="000000"/>
          <w:szCs w:val="32"/>
        </w:rPr>
        <w:t>交易主体是指依法参加矿业权</w:t>
      </w:r>
      <w:r>
        <w:rPr>
          <w:rFonts w:hint="eastAsia"/>
          <w:color w:val="000000"/>
          <w:szCs w:val="32"/>
        </w:rPr>
        <w:t>出让</w:t>
      </w:r>
      <w:r>
        <w:rPr>
          <w:color w:val="000000"/>
          <w:szCs w:val="32"/>
        </w:rPr>
        <w:t>交易的出让人、受让人、投标人、竞买人、中标人和竞得人。受让人、投标人、竞买人、中标人和竞得人应当符合法律、法规、政策文件有关资质要求的规定。</w:t>
      </w:r>
    </w:p>
    <w:p>
      <w:pPr>
        <w:adjustRightInd w:val="0"/>
        <w:snapToGrid w:val="0"/>
        <w:spacing w:line="600" w:lineRule="exact"/>
        <w:ind w:firstLine="624" w:firstLineChars="200"/>
        <w:rPr>
          <w:color w:val="000000"/>
          <w:spacing w:val="-4"/>
          <w:szCs w:val="32"/>
        </w:rPr>
      </w:pPr>
      <w:r>
        <w:rPr>
          <w:color w:val="000000"/>
          <w:spacing w:val="-4"/>
          <w:szCs w:val="32"/>
        </w:rPr>
        <w:t>出让人是指出让矿业权的自然资源主管部门。</w:t>
      </w:r>
      <w:r>
        <w:rPr>
          <w:rFonts w:hint="eastAsia"/>
          <w:color w:val="000000"/>
          <w:spacing w:val="-4"/>
          <w:szCs w:val="32"/>
        </w:rPr>
        <w:t>转让人是指转让其拥有合法矿业权的矿业权人。</w:t>
      </w:r>
      <w:r>
        <w:rPr>
          <w:color w:val="000000"/>
          <w:spacing w:val="-4"/>
          <w:szCs w:val="32"/>
        </w:rPr>
        <w:t>受让人是指符合探矿权、采矿权申请条件或者受让条件的、能独立承担民事责任的法人。</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以招标方式出让的，参与投标各方为投标人；以拍卖和挂牌方式出让的，参与竞拍和竞买各方均为竞买人；出让人按拍卖法、招标投标法、招标投标法实施条例以及矿业权出让时公告的标准、方法确定中标人、竞得人。</w:t>
      </w:r>
    </w:p>
    <w:p>
      <w:pPr>
        <w:adjustRightInd w:val="0"/>
        <w:snapToGrid w:val="0"/>
        <w:spacing w:line="600" w:lineRule="exact"/>
        <w:ind w:firstLine="640" w:firstLineChars="200"/>
        <w:rPr>
          <w:szCs w:val="32"/>
          <w:shd w:val="clear" w:color="auto" w:fill="FFFFFF"/>
        </w:rPr>
      </w:pPr>
      <w:r>
        <w:rPr>
          <w:rFonts w:hint="eastAsia" w:ascii="黑体" w:hAnsi="黑体" w:eastAsia="黑体"/>
          <w:szCs w:val="32"/>
          <w:shd w:val="clear" w:color="auto" w:fill="FFFFFF"/>
        </w:rPr>
        <w:t xml:space="preserve">第五条 </w:t>
      </w:r>
      <w:r>
        <w:rPr>
          <w:szCs w:val="32"/>
          <w:shd w:val="clear" w:color="auto" w:fill="FFFFFF"/>
        </w:rPr>
        <w:t>矿业权出让应当依照国家有关规定</w:t>
      </w:r>
      <w:r>
        <w:rPr>
          <w:rFonts w:hint="eastAsia"/>
          <w:szCs w:val="32"/>
          <w:shd w:val="clear" w:color="auto" w:fill="FFFFFF"/>
        </w:rPr>
        <w:t>，</w:t>
      </w:r>
      <w:r>
        <w:rPr>
          <w:szCs w:val="32"/>
          <w:shd w:val="clear" w:color="auto" w:fill="FFFFFF"/>
        </w:rPr>
        <w:t>通过公开的交易平台进行交易，并纳入统一的公共资源交易平台体系。</w:t>
      </w:r>
      <w:r>
        <w:rPr>
          <w:rFonts w:hint="eastAsia"/>
          <w:szCs w:val="32"/>
          <w:shd w:val="clear" w:color="auto" w:fill="FFFFFF"/>
        </w:rPr>
        <w:t>矿业权出让按照</w:t>
      </w:r>
      <w:r>
        <w:rPr>
          <w:szCs w:val="32"/>
          <w:shd w:val="clear" w:color="auto" w:fill="FFFFFF"/>
        </w:rPr>
        <w:t>以下</w:t>
      </w:r>
      <w:r>
        <w:rPr>
          <w:rFonts w:hint="eastAsia"/>
          <w:szCs w:val="32"/>
          <w:shd w:val="clear" w:color="auto" w:fill="FFFFFF"/>
        </w:rPr>
        <w:t>原则</w:t>
      </w:r>
      <w:r>
        <w:rPr>
          <w:szCs w:val="32"/>
          <w:shd w:val="clear" w:color="auto" w:fill="FFFFFF"/>
        </w:rPr>
        <w:t>开展</w:t>
      </w:r>
      <w:r>
        <w:rPr>
          <w:rFonts w:hint="eastAsia"/>
          <w:szCs w:val="32"/>
          <w:shd w:val="clear" w:color="auto" w:fill="FFFFFF"/>
        </w:rPr>
        <w:t>：</w:t>
      </w:r>
      <w:r>
        <w:rPr>
          <w:szCs w:val="32"/>
          <w:shd w:val="clear" w:color="auto" w:fill="FFFFFF"/>
        </w:rPr>
        <w:t>自然资源部出让登记权限需要进行招标、拍卖、挂牌出让矿业权</w:t>
      </w:r>
      <w:r>
        <w:rPr>
          <w:rFonts w:hint="eastAsia"/>
          <w:szCs w:val="32"/>
          <w:shd w:val="clear" w:color="auto" w:fill="FFFFFF"/>
        </w:rPr>
        <w:t>，</w:t>
      </w:r>
      <w:r>
        <w:rPr>
          <w:szCs w:val="32"/>
          <w:shd w:val="clear" w:color="auto" w:fill="FFFFFF"/>
        </w:rPr>
        <w:t>委托自治区自然资源主管部门</w:t>
      </w:r>
      <w:r>
        <w:rPr>
          <w:rFonts w:hint="eastAsia"/>
          <w:szCs w:val="32"/>
          <w:shd w:val="clear" w:color="auto" w:fill="FFFFFF"/>
        </w:rPr>
        <w:t>组织</w:t>
      </w:r>
      <w:r>
        <w:rPr>
          <w:szCs w:val="32"/>
          <w:shd w:val="clear" w:color="auto" w:fill="FFFFFF"/>
        </w:rPr>
        <w:t>出让以及</w:t>
      </w:r>
      <w:r>
        <w:rPr>
          <w:rFonts w:hint="eastAsia"/>
          <w:szCs w:val="32"/>
          <w:shd w:val="clear" w:color="auto" w:fill="FFFFFF"/>
        </w:rPr>
        <w:t>自治区</w:t>
      </w:r>
      <w:r>
        <w:rPr>
          <w:szCs w:val="32"/>
          <w:shd w:val="clear" w:color="auto" w:fill="FFFFFF"/>
        </w:rPr>
        <w:t>本级发</w:t>
      </w:r>
      <w:r>
        <w:rPr>
          <w:rFonts w:hint="eastAsia"/>
          <w:szCs w:val="32"/>
          <w:shd w:val="clear" w:color="auto" w:fill="FFFFFF"/>
        </w:rPr>
        <w:t>证</w:t>
      </w:r>
      <w:r>
        <w:rPr>
          <w:szCs w:val="32"/>
          <w:shd w:val="clear" w:color="auto" w:fill="FFFFFF"/>
        </w:rPr>
        <w:t>权限</w:t>
      </w:r>
      <w:r>
        <w:rPr>
          <w:rFonts w:hint="eastAsia"/>
          <w:szCs w:val="32"/>
          <w:shd w:val="clear" w:color="auto" w:fill="FFFFFF"/>
        </w:rPr>
        <w:t>整装</w:t>
      </w:r>
      <w:r>
        <w:rPr>
          <w:szCs w:val="32"/>
          <w:shd w:val="clear" w:color="auto" w:fill="FFFFFF"/>
        </w:rPr>
        <w:t>煤炭矿业权</w:t>
      </w:r>
      <w:r>
        <w:rPr>
          <w:rFonts w:hint="eastAsia"/>
          <w:szCs w:val="32"/>
          <w:shd w:val="clear" w:color="auto" w:fill="FFFFFF"/>
        </w:rPr>
        <w:t>的</w:t>
      </w:r>
      <w:r>
        <w:rPr>
          <w:szCs w:val="32"/>
          <w:shd w:val="clear" w:color="auto" w:fill="FFFFFF"/>
        </w:rPr>
        <w:t>，由</w:t>
      </w:r>
      <w:r>
        <w:rPr>
          <w:rFonts w:hint="eastAsia"/>
          <w:szCs w:val="32"/>
          <w:shd w:val="clear" w:color="auto" w:fill="FFFFFF"/>
        </w:rPr>
        <w:t>内蒙古自治区自然资源主管部门委托自治区公共资源交易中心组织</w:t>
      </w:r>
      <w:r>
        <w:rPr>
          <w:szCs w:val="32"/>
          <w:shd w:val="clear" w:color="auto" w:fill="FFFFFF"/>
        </w:rPr>
        <w:t>出让</w:t>
      </w:r>
      <w:r>
        <w:rPr>
          <w:rFonts w:hint="eastAsia"/>
          <w:szCs w:val="32"/>
          <w:shd w:val="clear" w:color="auto" w:fill="FFFFFF"/>
        </w:rPr>
        <w:t>，</w:t>
      </w:r>
      <w:r>
        <w:rPr>
          <w:szCs w:val="32"/>
          <w:shd w:val="clear" w:color="auto" w:fill="FFFFFF"/>
        </w:rPr>
        <w:t>自治区各有关部门依职能做好工作配合；</w:t>
      </w:r>
      <w:r>
        <w:rPr>
          <w:rFonts w:hint="eastAsia"/>
          <w:szCs w:val="32"/>
          <w:shd w:val="clear" w:color="auto" w:fill="FFFFFF"/>
        </w:rPr>
        <w:t>煤炭</w:t>
      </w:r>
      <w:r>
        <w:rPr>
          <w:szCs w:val="32"/>
          <w:shd w:val="clear" w:color="auto" w:fill="FFFFFF"/>
        </w:rPr>
        <w:t>边角资源</w:t>
      </w:r>
      <w:r>
        <w:rPr>
          <w:rFonts w:hint="eastAsia"/>
          <w:szCs w:val="32"/>
          <w:shd w:val="clear" w:color="auto" w:fill="FFFFFF"/>
        </w:rPr>
        <w:t>矿业权</w:t>
      </w:r>
      <w:r>
        <w:rPr>
          <w:szCs w:val="32"/>
          <w:shd w:val="clear" w:color="auto" w:fill="FFFFFF"/>
        </w:rPr>
        <w:t>的，由属地盟</w:t>
      </w:r>
      <w:r>
        <w:rPr>
          <w:rFonts w:hint="eastAsia"/>
          <w:szCs w:val="32"/>
          <w:shd w:val="clear" w:color="auto" w:fill="FFFFFF"/>
        </w:rPr>
        <w:t>行政</w:t>
      </w:r>
      <w:r>
        <w:rPr>
          <w:szCs w:val="32"/>
          <w:shd w:val="clear" w:color="auto" w:fill="FFFFFF"/>
        </w:rPr>
        <w:t>公署</w:t>
      </w:r>
      <w:r>
        <w:rPr>
          <w:rFonts w:hint="eastAsia"/>
          <w:szCs w:val="32"/>
          <w:shd w:val="clear" w:color="auto" w:fill="FFFFFF"/>
        </w:rPr>
        <w:t>（市</w:t>
      </w:r>
      <w:r>
        <w:rPr>
          <w:szCs w:val="32"/>
          <w:shd w:val="clear" w:color="auto" w:fill="FFFFFF"/>
        </w:rPr>
        <w:t>人民政府</w:t>
      </w:r>
      <w:r>
        <w:rPr>
          <w:rFonts w:hint="eastAsia"/>
          <w:szCs w:val="32"/>
          <w:shd w:val="clear" w:color="auto" w:fill="FFFFFF"/>
        </w:rPr>
        <w:t>）委托盟市公共资源交易中心组织</w:t>
      </w:r>
      <w:r>
        <w:rPr>
          <w:szCs w:val="32"/>
          <w:shd w:val="clear" w:color="auto" w:fill="FFFFFF"/>
        </w:rPr>
        <w:t>出让</w:t>
      </w:r>
      <w:r>
        <w:rPr>
          <w:rFonts w:hint="eastAsia"/>
          <w:szCs w:val="32"/>
          <w:shd w:val="clear" w:color="auto" w:fill="FFFFFF"/>
        </w:rPr>
        <w:t>；自治区</w:t>
      </w:r>
      <w:r>
        <w:rPr>
          <w:szCs w:val="32"/>
          <w:shd w:val="clear" w:color="auto" w:fill="FFFFFF"/>
        </w:rPr>
        <w:t>本级</w:t>
      </w:r>
      <w:r>
        <w:rPr>
          <w:rFonts w:hint="eastAsia"/>
          <w:szCs w:val="32"/>
          <w:shd w:val="clear" w:color="auto" w:fill="FFFFFF"/>
        </w:rPr>
        <w:t>出让、</w:t>
      </w:r>
      <w:r>
        <w:rPr>
          <w:szCs w:val="32"/>
          <w:shd w:val="clear" w:color="auto" w:fill="FFFFFF"/>
        </w:rPr>
        <w:t>登记权限矿业权（</w:t>
      </w:r>
      <w:r>
        <w:rPr>
          <w:rFonts w:hint="eastAsia"/>
          <w:szCs w:val="32"/>
          <w:shd w:val="clear" w:color="auto" w:fill="FFFFFF"/>
        </w:rPr>
        <w:t>除</w:t>
      </w:r>
      <w:r>
        <w:rPr>
          <w:szCs w:val="32"/>
          <w:shd w:val="clear" w:color="auto" w:fill="FFFFFF"/>
        </w:rPr>
        <w:t>煤炭外</w:t>
      </w:r>
      <w:r>
        <w:rPr>
          <w:rFonts w:hint="eastAsia"/>
          <w:szCs w:val="32"/>
          <w:shd w:val="clear" w:color="auto" w:fill="FFFFFF"/>
        </w:rPr>
        <w:t>）以及</w:t>
      </w:r>
      <w:r>
        <w:rPr>
          <w:szCs w:val="32"/>
          <w:shd w:val="clear" w:color="auto" w:fill="FFFFFF"/>
        </w:rPr>
        <w:t>盟市</w:t>
      </w:r>
      <w:r>
        <w:rPr>
          <w:rFonts w:hint="eastAsia"/>
          <w:szCs w:val="32"/>
          <w:shd w:val="clear" w:color="auto" w:fill="FFFFFF"/>
        </w:rPr>
        <w:t>自然资源主管</w:t>
      </w:r>
      <w:r>
        <w:rPr>
          <w:szCs w:val="32"/>
          <w:shd w:val="clear" w:color="auto" w:fill="FFFFFF"/>
        </w:rPr>
        <w:t>部门出让、登记权限</w:t>
      </w:r>
      <w:r>
        <w:rPr>
          <w:rFonts w:hint="eastAsia"/>
          <w:szCs w:val="32"/>
          <w:shd w:val="clear" w:color="auto" w:fill="FFFFFF"/>
        </w:rPr>
        <w:t>矿业权的，由资源</w:t>
      </w:r>
      <w:r>
        <w:rPr>
          <w:szCs w:val="32"/>
          <w:shd w:val="clear" w:color="auto" w:fill="FFFFFF"/>
        </w:rPr>
        <w:t>所在地盟市自然资源主管部门委托</w:t>
      </w:r>
      <w:r>
        <w:rPr>
          <w:rFonts w:hint="eastAsia"/>
          <w:szCs w:val="32"/>
          <w:shd w:val="clear" w:color="auto" w:fill="FFFFFF"/>
        </w:rPr>
        <w:t>盟市公共资源交易中心组织</w:t>
      </w:r>
      <w:r>
        <w:rPr>
          <w:szCs w:val="32"/>
          <w:shd w:val="clear" w:color="auto" w:fill="FFFFFF"/>
        </w:rPr>
        <w:t>出让；</w:t>
      </w:r>
      <w:r>
        <w:rPr>
          <w:rFonts w:hint="eastAsia"/>
          <w:szCs w:val="32"/>
          <w:shd w:val="clear" w:color="auto" w:fill="FFFFFF"/>
        </w:rPr>
        <w:t>盟市自然</w:t>
      </w:r>
      <w:r>
        <w:rPr>
          <w:szCs w:val="32"/>
          <w:shd w:val="clear" w:color="auto" w:fill="FFFFFF"/>
        </w:rPr>
        <w:t>资源部门</w:t>
      </w:r>
      <w:r>
        <w:rPr>
          <w:rFonts w:hint="eastAsia"/>
          <w:szCs w:val="32"/>
          <w:shd w:val="clear" w:color="auto" w:fill="FFFFFF"/>
        </w:rPr>
        <w:t>下放</w:t>
      </w:r>
      <w:r>
        <w:rPr>
          <w:szCs w:val="32"/>
          <w:shd w:val="clear" w:color="auto" w:fill="FFFFFF"/>
        </w:rPr>
        <w:t>普通建筑用砂石土类矿产</w:t>
      </w:r>
      <w:r>
        <w:rPr>
          <w:rFonts w:hint="eastAsia"/>
          <w:szCs w:val="32"/>
          <w:shd w:val="clear" w:color="auto" w:fill="FFFFFF"/>
        </w:rPr>
        <w:t>矿业权</w:t>
      </w:r>
      <w:r>
        <w:rPr>
          <w:szCs w:val="32"/>
          <w:shd w:val="clear" w:color="auto" w:fill="FFFFFF"/>
        </w:rPr>
        <w:t>的出让、</w:t>
      </w:r>
      <w:r>
        <w:rPr>
          <w:rFonts w:hint="eastAsia"/>
          <w:szCs w:val="32"/>
          <w:shd w:val="clear" w:color="auto" w:fill="FFFFFF"/>
        </w:rPr>
        <w:t>登记</w:t>
      </w:r>
      <w:r>
        <w:rPr>
          <w:szCs w:val="32"/>
          <w:shd w:val="clear" w:color="auto" w:fill="FFFFFF"/>
        </w:rPr>
        <w:t>权限的，由</w:t>
      </w:r>
      <w:r>
        <w:rPr>
          <w:rFonts w:hint="eastAsia"/>
          <w:szCs w:val="32"/>
          <w:shd w:val="clear" w:color="auto" w:fill="FFFFFF"/>
        </w:rPr>
        <w:t>属地</w:t>
      </w:r>
      <w:r>
        <w:rPr>
          <w:szCs w:val="32"/>
          <w:shd w:val="clear" w:color="auto" w:fill="FFFFFF"/>
        </w:rPr>
        <w:t>旗县（</w:t>
      </w:r>
      <w:r>
        <w:rPr>
          <w:rFonts w:hint="eastAsia"/>
          <w:szCs w:val="32"/>
          <w:shd w:val="clear" w:color="auto" w:fill="FFFFFF"/>
        </w:rPr>
        <w:t>市</w:t>
      </w:r>
      <w:r>
        <w:rPr>
          <w:szCs w:val="32"/>
          <w:shd w:val="clear" w:color="auto" w:fill="FFFFFF"/>
        </w:rPr>
        <w:t>、区）</w:t>
      </w:r>
      <w:r>
        <w:rPr>
          <w:rFonts w:hint="eastAsia"/>
          <w:szCs w:val="32"/>
          <w:shd w:val="clear" w:color="auto" w:fill="FFFFFF"/>
        </w:rPr>
        <w:t>自然</w:t>
      </w:r>
      <w:r>
        <w:rPr>
          <w:szCs w:val="32"/>
          <w:shd w:val="clear" w:color="auto" w:fill="FFFFFF"/>
        </w:rPr>
        <w:t>资源部门</w:t>
      </w:r>
      <w:r>
        <w:rPr>
          <w:rFonts w:hint="eastAsia"/>
          <w:szCs w:val="32"/>
          <w:shd w:val="clear" w:color="auto" w:fill="FFFFFF"/>
        </w:rPr>
        <w:t>委托旗县</w:t>
      </w:r>
      <w:r>
        <w:rPr>
          <w:szCs w:val="32"/>
          <w:shd w:val="clear" w:color="auto" w:fill="FFFFFF"/>
        </w:rPr>
        <w:t>（</w:t>
      </w:r>
      <w:r>
        <w:rPr>
          <w:rFonts w:hint="eastAsia"/>
          <w:szCs w:val="32"/>
          <w:shd w:val="clear" w:color="auto" w:fill="FFFFFF"/>
        </w:rPr>
        <w:t>市</w:t>
      </w:r>
      <w:r>
        <w:rPr>
          <w:szCs w:val="32"/>
          <w:shd w:val="clear" w:color="auto" w:fill="FFFFFF"/>
        </w:rPr>
        <w:t>、区）</w:t>
      </w:r>
      <w:r>
        <w:rPr>
          <w:rFonts w:hint="eastAsia"/>
          <w:szCs w:val="32"/>
          <w:shd w:val="clear" w:color="auto" w:fill="FFFFFF"/>
        </w:rPr>
        <w:t>公共资源交易中心组织</w:t>
      </w:r>
      <w:r>
        <w:rPr>
          <w:szCs w:val="32"/>
          <w:shd w:val="clear" w:color="auto" w:fill="FFFFFF"/>
        </w:rPr>
        <w:t>出让。</w:t>
      </w:r>
    </w:p>
    <w:p>
      <w:pPr>
        <w:adjustRightInd w:val="0"/>
        <w:snapToGrid w:val="0"/>
        <w:spacing w:line="600" w:lineRule="exact"/>
        <w:ind w:firstLine="640" w:firstLineChars="200"/>
        <w:rPr>
          <w:szCs w:val="32"/>
          <w:shd w:val="clear" w:color="auto" w:fill="FFFFFF"/>
        </w:rPr>
      </w:pPr>
      <w:r>
        <w:rPr>
          <w:rFonts w:hint="eastAsia" w:ascii="黑体" w:hAnsi="黑体" w:eastAsia="黑体"/>
          <w:szCs w:val="32"/>
        </w:rPr>
        <w:t xml:space="preserve">第七条 </w:t>
      </w:r>
      <w:r>
        <w:rPr>
          <w:rFonts w:hint="eastAsia"/>
          <w:szCs w:val="32"/>
          <w:shd w:val="clear" w:color="auto" w:fill="FFFFFF"/>
        </w:rPr>
        <w:t>矿业权交易平台应当具有固定场所、完善的交易管理制度、相应的设备和专业技术人员。鼓励使用互联网交易系统进行矿业权出让交易。内蒙古自治区行政区域内矿业权的出让，应当在矿业权交易平台提供的交易场所或者互联网交易系统中进行，矿业权交易平台应当加快推进互联网交易系统的使用工作。矿业权交易平台可委托具有相应资质的交易代理中介机构完成具体的招标、拍卖、挂牌程序工作。</w:t>
      </w:r>
    </w:p>
    <w:p>
      <w:pPr>
        <w:adjustRightInd w:val="0"/>
        <w:snapToGrid w:val="0"/>
        <w:spacing w:line="600" w:lineRule="exact"/>
        <w:ind w:firstLine="640" w:firstLineChars="200"/>
        <w:rPr>
          <w:szCs w:val="32"/>
        </w:rPr>
      </w:pPr>
      <w:r>
        <w:rPr>
          <w:rFonts w:hint="eastAsia" w:ascii="黑体" w:hAnsi="黑体" w:eastAsia="黑体"/>
          <w:szCs w:val="32"/>
        </w:rPr>
        <w:t xml:space="preserve">第八条 </w:t>
      </w:r>
      <w:r>
        <w:rPr>
          <w:rFonts w:hint="eastAsia"/>
          <w:szCs w:val="32"/>
        </w:rPr>
        <w:t>矿业权</w:t>
      </w:r>
      <w:r>
        <w:rPr>
          <w:szCs w:val="32"/>
        </w:rPr>
        <w:t>交易平台应当按照本</w:t>
      </w:r>
      <w:r>
        <w:rPr>
          <w:rFonts w:hint="eastAsia"/>
          <w:szCs w:val="32"/>
        </w:rPr>
        <w:t>细</w:t>
      </w:r>
      <w:r>
        <w:rPr>
          <w:szCs w:val="32"/>
        </w:rPr>
        <w:t>则组织矿业权交易，全面推行和实施电子化交易，优化交易管理和服务，自觉接受自然资源主管部门的监督和业务指导，加强自律管理，维护市场秩序，保证矿业权交易公开、公平、公正。</w:t>
      </w:r>
    </w:p>
    <w:p>
      <w:pPr>
        <w:adjustRightInd w:val="0"/>
        <w:snapToGrid w:val="0"/>
        <w:spacing w:line="600" w:lineRule="exact"/>
        <w:ind w:firstLine="640" w:firstLineChars="200"/>
        <w:rPr>
          <w:szCs w:val="32"/>
        </w:rPr>
      </w:pPr>
      <w:r>
        <w:rPr>
          <w:rFonts w:hint="eastAsia" w:ascii="黑体" w:hAnsi="黑体" w:eastAsia="黑体"/>
          <w:szCs w:val="32"/>
        </w:rPr>
        <w:t xml:space="preserve">第九条 </w:t>
      </w:r>
      <w:r>
        <w:rPr>
          <w:szCs w:val="32"/>
        </w:rPr>
        <w:t>以招标、拍卖、挂牌方式出让矿业权的，应</w:t>
      </w:r>
      <w:r>
        <w:rPr>
          <w:rFonts w:hint="eastAsia"/>
          <w:szCs w:val="32"/>
        </w:rPr>
        <w:t>当在</w:t>
      </w:r>
      <w:r>
        <w:rPr>
          <w:szCs w:val="32"/>
          <w:shd w:val="clear" w:color="auto" w:fill="FFFFFF"/>
        </w:rPr>
        <w:t>统一的公共资源交易平台体系</w:t>
      </w:r>
      <w:r>
        <w:rPr>
          <w:rFonts w:hint="eastAsia"/>
          <w:szCs w:val="32"/>
          <w:shd w:val="clear" w:color="auto" w:fill="FFFFFF"/>
        </w:rPr>
        <w:t>中</w:t>
      </w:r>
      <w:r>
        <w:rPr>
          <w:rFonts w:hint="eastAsia"/>
          <w:szCs w:val="32"/>
        </w:rPr>
        <w:t>进行。</w:t>
      </w:r>
    </w:p>
    <w:p>
      <w:pPr>
        <w:pStyle w:val="7"/>
        <w:widowControl/>
        <w:numPr>
          <w:ilvl w:val="0"/>
          <w:numId w:val="1"/>
        </w:numPr>
        <w:adjustRightInd w:val="0"/>
        <w:snapToGrid w:val="0"/>
        <w:spacing w:line="600" w:lineRule="exact"/>
        <w:ind w:firstLineChars="0"/>
        <w:jc w:val="center"/>
        <w:textAlignment w:val="center"/>
        <w:rPr>
          <w:rFonts w:eastAsia="黑体"/>
          <w:color w:val="000000"/>
          <w:kern w:val="0"/>
          <w:szCs w:val="32"/>
        </w:rPr>
      </w:pPr>
      <w:r>
        <w:rPr>
          <w:rFonts w:hint="eastAsia" w:eastAsia="黑体"/>
          <w:color w:val="000000"/>
          <w:kern w:val="0"/>
          <w:szCs w:val="32"/>
        </w:rPr>
        <w:t>交易委托</w:t>
      </w:r>
    </w:p>
    <w:p>
      <w:pPr>
        <w:adjustRightInd w:val="0"/>
        <w:snapToGrid w:val="0"/>
        <w:spacing w:line="600" w:lineRule="exact"/>
        <w:ind w:firstLine="640" w:firstLineChars="200"/>
        <w:rPr>
          <w:color w:val="000000"/>
          <w:kern w:val="0"/>
          <w:szCs w:val="32"/>
        </w:rPr>
      </w:pPr>
      <w:r>
        <w:rPr>
          <w:rFonts w:hint="eastAsia" w:ascii="黑体" w:hAnsi="黑体" w:eastAsia="黑体"/>
          <w:color w:val="000000"/>
          <w:szCs w:val="32"/>
          <w:shd w:val="clear" w:color="auto" w:fill="FFFFFF"/>
        </w:rPr>
        <w:t xml:space="preserve">第十条 </w:t>
      </w:r>
      <w:r>
        <w:rPr>
          <w:color w:val="000000"/>
          <w:kern w:val="0"/>
          <w:szCs w:val="32"/>
        </w:rPr>
        <w:t>以招标、拍卖、挂牌方式出让矿业权的，交易平台按照</w:t>
      </w:r>
      <w:r>
        <w:rPr>
          <w:color w:val="000000"/>
          <w:szCs w:val="32"/>
          <w:shd w:val="clear" w:color="auto" w:fill="FFFFFF"/>
        </w:rPr>
        <w:t>自然</w:t>
      </w:r>
      <w:r>
        <w:rPr>
          <w:color w:val="000000"/>
          <w:kern w:val="0"/>
          <w:szCs w:val="32"/>
        </w:rPr>
        <w:t>资源主管部门</w:t>
      </w:r>
      <w:r>
        <w:rPr>
          <w:rFonts w:hint="eastAsia"/>
          <w:color w:val="000000"/>
          <w:kern w:val="0"/>
          <w:szCs w:val="32"/>
        </w:rPr>
        <w:t>出具</w:t>
      </w:r>
      <w:r>
        <w:rPr>
          <w:color w:val="000000"/>
          <w:kern w:val="0"/>
          <w:szCs w:val="32"/>
        </w:rPr>
        <w:t>的委托书组织实施。</w:t>
      </w:r>
      <w:r>
        <w:rPr>
          <w:rFonts w:hint="eastAsia"/>
          <w:color w:val="000000"/>
          <w:kern w:val="0"/>
          <w:szCs w:val="32"/>
        </w:rPr>
        <w:t>委托书应包括下列内容：</w:t>
      </w:r>
    </w:p>
    <w:p>
      <w:pPr>
        <w:adjustRightInd w:val="0"/>
        <w:snapToGrid w:val="0"/>
        <w:spacing w:line="600" w:lineRule="exact"/>
        <w:ind w:firstLine="600"/>
        <w:rPr>
          <w:color w:val="000000"/>
          <w:kern w:val="0"/>
          <w:szCs w:val="32"/>
        </w:rPr>
      </w:pPr>
      <w:r>
        <w:rPr>
          <w:rFonts w:hint="eastAsia"/>
          <w:color w:val="000000"/>
          <w:kern w:val="0"/>
          <w:szCs w:val="32"/>
        </w:rPr>
        <w:t>1.拟委托出让矿业权基本信息；</w:t>
      </w:r>
    </w:p>
    <w:p>
      <w:pPr>
        <w:adjustRightInd w:val="0"/>
        <w:snapToGrid w:val="0"/>
        <w:spacing w:line="600" w:lineRule="exact"/>
        <w:ind w:firstLine="600"/>
        <w:rPr>
          <w:color w:val="000000"/>
          <w:kern w:val="0"/>
          <w:szCs w:val="32"/>
        </w:rPr>
      </w:pPr>
      <w:r>
        <w:rPr>
          <w:rFonts w:hint="eastAsia"/>
          <w:color w:val="000000"/>
          <w:kern w:val="0"/>
          <w:szCs w:val="32"/>
        </w:rPr>
        <w:t>2.项目名称、矿种、地理位置、拐点范围坐标、勘查工作程度、开采标高、资源开发利用情况、拟出让年限，勘查投入、矿山地质环境保护与土地复垦要求等；</w:t>
      </w:r>
    </w:p>
    <w:p>
      <w:pPr>
        <w:adjustRightInd w:val="0"/>
        <w:snapToGrid w:val="0"/>
        <w:spacing w:line="600" w:lineRule="exact"/>
        <w:ind w:firstLine="640" w:firstLineChars="200"/>
        <w:rPr>
          <w:color w:val="000000"/>
          <w:kern w:val="0"/>
          <w:szCs w:val="32"/>
        </w:rPr>
      </w:pPr>
      <w:r>
        <w:rPr>
          <w:rFonts w:hint="eastAsia"/>
          <w:color w:val="000000"/>
          <w:kern w:val="0"/>
          <w:szCs w:val="32"/>
        </w:rPr>
        <w:t>3.委托出让人出让信息及出让人住所；</w:t>
      </w:r>
    </w:p>
    <w:p>
      <w:pPr>
        <w:adjustRightInd w:val="0"/>
        <w:snapToGrid w:val="0"/>
        <w:spacing w:line="600" w:lineRule="exact"/>
        <w:ind w:firstLine="640" w:firstLineChars="200"/>
        <w:rPr>
          <w:color w:val="000000"/>
          <w:kern w:val="0"/>
          <w:szCs w:val="32"/>
        </w:rPr>
      </w:pPr>
      <w:r>
        <w:rPr>
          <w:rFonts w:hint="eastAsia"/>
          <w:color w:val="000000"/>
          <w:kern w:val="0"/>
          <w:szCs w:val="32"/>
        </w:rPr>
        <w:t>4.竞买人资格条件；</w:t>
      </w:r>
    </w:p>
    <w:p>
      <w:pPr>
        <w:adjustRightInd w:val="0"/>
        <w:snapToGrid w:val="0"/>
        <w:spacing w:line="600" w:lineRule="exact"/>
        <w:ind w:firstLine="640" w:firstLineChars="200"/>
        <w:rPr>
          <w:color w:val="000000"/>
          <w:kern w:val="0"/>
          <w:szCs w:val="32"/>
        </w:rPr>
      </w:pPr>
      <w:r>
        <w:rPr>
          <w:rFonts w:hint="eastAsia"/>
          <w:color w:val="000000"/>
          <w:kern w:val="0"/>
          <w:szCs w:val="32"/>
        </w:rPr>
        <w:t>5.交易方式、起始价（有无底价）、报名资质条件及其他相关要求、矿业权出让收益缴纳（包括方式、账号、时限）、确定中标人（竞得人）的标准和方法、涉及的服务费用及支付方式、签署出让合同的时限、申请登记的起止时间及方式、公告和公示时间要求及发布媒介等；</w:t>
      </w:r>
    </w:p>
    <w:p>
      <w:pPr>
        <w:adjustRightInd w:val="0"/>
        <w:snapToGrid w:val="0"/>
        <w:spacing w:line="600" w:lineRule="exact"/>
        <w:ind w:firstLine="640" w:firstLineChars="200"/>
        <w:rPr>
          <w:color w:val="000000"/>
          <w:kern w:val="0"/>
          <w:szCs w:val="32"/>
        </w:rPr>
      </w:pPr>
      <w:r>
        <w:rPr>
          <w:rFonts w:hint="eastAsia"/>
          <w:color w:val="000000"/>
          <w:kern w:val="0"/>
          <w:szCs w:val="32"/>
        </w:rPr>
        <w:t>6.</w:t>
      </w:r>
      <w:r>
        <w:rPr>
          <w:rFonts w:hint="eastAsia"/>
          <w:kern w:val="0"/>
          <w:szCs w:val="32"/>
        </w:rPr>
        <w:t>保金或银行担保函要求（如采取保金、保函方式的）</w:t>
      </w:r>
      <w:r>
        <w:rPr>
          <w:rFonts w:hint="eastAsia"/>
          <w:color w:val="000000"/>
          <w:kern w:val="0"/>
          <w:szCs w:val="32"/>
        </w:rPr>
        <w:t>；</w:t>
      </w:r>
    </w:p>
    <w:p>
      <w:pPr>
        <w:adjustRightInd w:val="0"/>
        <w:snapToGrid w:val="0"/>
        <w:spacing w:line="600" w:lineRule="exact"/>
        <w:ind w:firstLine="640" w:firstLineChars="200"/>
        <w:rPr>
          <w:color w:val="000000"/>
          <w:kern w:val="0"/>
          <w:szCs w:val="32"/>
        </w:rPr>
      </w:pPr>
      <w:r>
        <w:rPr>
          <w:rFonts w:hint="eastAsia"/>
          <w:color w:val="000000"/>
          <w:kern w:val="0"/>
          <w:szCs w:val="32"/>
        </w:rPr>
        <w:t>7.出让方式及公告范围；</w:t>
      </w:r>
    </w:p>
    <w:p>
      <w:pPr>
        <w:adjustRightInd w:val="0"/>
        <w:snapToGrid w:val="0"/>
        <w:spacing w:line="600" w:lineRule="exact"/>
        <w:ind w:firstLine="640" w:firstLineChars="200"/>
        <w:rPr>
          <w:color w:val="000000"/>
          <w:kern w:val="0"/>
          <w:szCs w:val="32"/>
        </w:rPr>
      </w:pPr>
      <w:r>
        <w:rPr>
          <w:rFonts w:hint="eastAsia"/>
          <w:color w:val="000000"/>
          <w:kern w:val="0"/>
          <w:szCs w:val="32"/>
        </w:rPr>
        <w:t>8.出让公告、提交报名文件和资格审查；</w:t>
      </w:r>
    </w:p>
    <w:p>
      <w:pPr>
        <w:adjustRightInd w:val="0"/>
        <w:snapToGrid w:val="0"/>
        <w:spacing w:line="600" w:lineRule="exact"/>
        <w:ind w:firstLine="640" w:firstLineChars="200"/>
        <w:rPr>
          <w:color w:val="000000"/>
          <w:kern w:val="0"/>
          <w:szCs w:val="32"/>
        </w:rPr>
      </w:pPr>
      <w:r>
        <w:rPr>
          <w:color w:val="000000"/>
          <w:kern w:val="0"/>
          <w:szCs w:val="32"/>
        </w:rPr>
        <w:t>9</w:t>
      </w:r>
      <w:r>
        <w:rPr>
          <w:rFonts w:hint="eastAsia"/>
          <w:color w:val="000000"/>
          <w:kern w:val="0"/>
          <w:szCs w:val="32"/>
        </w:rPr>
        <w:t>.矿权出让收益缴纳方式；</w:t>
      </w:r>
    </w:p>
    <w:p>
      <w:pPr>
        <w:adjustRightInd w:val="0"/>
        <w:snapToGrid w:val="0"/>
        <w:spacing w:line="600" w:lineRule="exact"/>
        <w:ind w:firstLine="640" w:firstLineChars="200"/>
        <w:rPr>
          <w:color w:val="000000"/>
          <w:kern w:val="0"/>
          <w:szCs w:val="32"/>
        </w:rPr>
      </w:pPr>
      <w:r>
        <w:rPr>
          <w:rFonts w:hint="eastAsia"/>
          <w:color w:val="000000"/>
          <w:kern w:val="0"/>
          <w:szCs w:val="32"/>
        </w:rPr>
        <w:t>1</w:t>
      </w:r>
      <w:r>
        <w:rPr>
          <w:color w:val="000000"/>
          <w:kern w:val="0"/>
          <w:szCs w:val="32"/>
        </w:rPr>
        <w:t>0</w:t>
      </w:r>
      <w:r>
        <w:rPr>
          <w:rFonts w:hint="eastAsia"/>
          <w:color w:val="000000"/>
          <w:kern w:val="0"/>
          <w:szCs w:val="32"/>
        </w:rPr>
        <w:t>.出让人的联系人及联系方式；</w:t>
      </w:r>
    </w:p>
    <w:p>
      <w:pPr>
        <w:adjustRightInd w:val="0"/>
        <w:snapToGrid w:val="0"/>
        <w:spacing w:line="600" w:lineRule="exact"/>
        <w:ind w:firstLine="600"/>
        <w:rPr>
          <w:color w:val="000000"/>
          <w:kern w:val="0"/>
          <w:szCs w:val="32"/>
        </w:rPr>
      </w:pPr>
      <w:r>
        <w:rPr>
          <w:rFonts w:hint="eastAsia"/>
          <w:color w:val="000000"/>
          <w:kern w:val="0"/>
          <w:szCs w:val="32"/>
        </w:rPr>
        <w:t>1</w:t>
      </w:r>
      <w:r>
        <w:rPr>
          <w:color w:val="000000"/>
          <w:kern w:val="0"/>
          <w:szCs w:val="32"/>
        </w:rPr>
        <w:t>1</w:t>
      </w:r>
      <w:r>
        <w:rPr>
          <w:rFonts w:hint="eastAsia"/>
          <w:color w:val="000000"/>
          <w:kern w:val="0"/>
          <w:szCs w:val="32"/>
        </w:rPr>
        <w:t>.其他需要在委托文件中注明的事项。</w:t>
      </w:r>
    </w:p>
    <w:p>
      <w:pPr>
        <w:adjustRightInd w:val="0"/>
        <w:snapToGrid w:val="0"/>
        <w:spacing w:line="600" w:lineRule="exact"/>
        <w:ind w:firstLine="600"/>
        <w:rPr>
          <w:color w:val="000000"/>
          <w:kern w:val="0"/>
          <w:szCs w:val="32"/>
        </w:rPr>
      </w:pPr>
      <w:r>
        <w:rPr>
          <w:rFonts w:hint="eastAsia" w:ascii="黑体" w:hAnsi="黑体" w:eastAsia="黑体"/>
          <w:color w:val="000000"/>
          <w:szCs w:val="32"/>
          <w:shd w:val="clear" w:color="auto" w:fill="FFFFFF"/>
        </w:rPr>
        <w:t xml:space="preserve">第八条 </w:t>
      </w:r>
      <w:r>
        <w:rPr>
          <w:rFonts w:hint="eastAsia"/>
          <w:color w:val="000000"/>
          <w:kern w:val="0"/>
          <w:szCs w:val="32"/>
        </w:rPr>
        <w:t>矿业权交易平台认为委托书存在不合理的条件，影响矿业权交易公开、公平、公正，应当及时函告出让人。</w:t>
      </w:r>
    </w:p>
    <w:p>
      <w:pPr>
        <w:widowControl/>
        <w:adjustRightInd w:val="0"/>
        <w:snapToGrid w:val="0"/>
        <w:spacing w:line="600" w:lineRule="exact"/>
        <w:ind w:firstLine="640" w:firstLineChars="200"/>
        <w:jc w:val="center"/>
        <w:textAlignment w:val="center"/>
        <w:rPr>
          <w:rFonts w:eastAsia="黑体"/>
          <w:color w:val="000000"/>
          <w:kern w:val="0"/>
          <w:szCs w:val="32"/>
        </w:rPr>
      </w:pPr>
      <w:r>
        <w:rPr>
          <w:rFonts w:hint="eastAsia" w:eastAsia="黑体"/>
          <w:color w:val="000000"/>
          <w:kern w:val="0"/>
          <w:szCs w:val="32"/>
        </w:rPr>
        <w:t xml:space="preserve">第三章 </w:t>
      </w:r>
      <w:r>
        <w:rPr>
          <w:rFonts w:eastAsia="黑体"/>
          <w:color w:val="000000"/>
          <w:kern w:val="0"/>
          <w:szCs w:val="32"/>
        </w:rPr>
        <w:t>公告</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第九条 </w:t>
      </w:r>
      <w:r>
        <w:rPr>
          <w:color w:val="000000"/>
          <w:szCs w:val="32"/>
          <w:shd w:val="clear" w:color="auto" w:fill="FFFFFF"/>
        </w:rPr>
        <w:t>以招标、拍卖、挂牌方式出让矿业权的，交易平台依据出让人提供的相关材料发布出让公告。</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第十条 </w:t>
      </w:r>
      <w:r>
        <w:rPr>
          <w:color w:val="000000"/>
          <w:szCs w:val="32"/>
          <w:shd w:val="clear" w:color="auto" w:fill="FFFFFF"/>
        </w:rPr>
        <w:t>交易平台或者自然资源主管部门应当在下列平台同时发布出让公告</w:t>
      </w:r>
      <w:r>
        <w:rPr>
          <w:rFonts w:hint="eastAsia"/>
          <w:color w:val="000000"/>
          <w:szCs w:val="32"/>
          <w:shd w:val="clear" w:color="auto" w:fill="FFFFFF"/>
        </w:rPr>
        <w:t>：</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1.自然资源部门户网站；</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2.同级自然资源主管部门（或人民政府）门户网站；</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3.交易平台网站、交易大厅；</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4.有必要采取的其他方式。</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第十一条</w:t>
      </w:r>
      <w:r>
        <w:rPr>
          <w:rFonts w:hint="eastAsia" w:ascii="黑体" w:hAnsi="黑体" w:eastAsia="黑体"/>
          <w:b/>
          <w:color w:val="000000"/>
          <w:szCs w:val="32"/>
          <w:shd w:val="clear" w:color="auto" w:fill="FFFFFF"/>
        </w:rPr>
        <w:t xml:space="preserve"> </w:t>
      </w:r>
      <w:r>
        <w:rPr>
          <w:color w:val="000000"/>
          <w:szCs w:val="32"/>
          <w:shd w:val="clear" w:color="auto" w:fill="FFFFFF"/>
        </w:rPr>
        <w:t>出让公告应当包括以下内容：</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1.出让人和交易平台的名称、住所；</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2.拟出让矿业权的简要情况，包括项目名称、矿种、地理位置、拐点范围坐标、面积、</w:t>
      </w:r>
      <w:r>
        <w:rPr>
          <w:rFonts w:hint="eastAsia"/>
          <w:color w:val="000000"/>
          <w:szCs w:val="32"/>
          <w:shd w:val="clear" w:color="auto" w:fill="FFFFFF"/>
        </w:rPr>
        <w:t>资源</w:t>
      </w:r>
      <w:r>
        <w:rPr>
          <w:color w:val="000000"/>
          <w:szCs w:val="32"/>
          <w:shd w:val="clear" w:color="auto" w:fill="FFFFFF"/>
        </w:rPr>
        <w:t>储量（勘查工作程度）、开采标高、拟出让年限、资源开发利用情况、</w:t>
      </w:r>
      <w:r>
        <w:rPr>
          <w:rFonts w:hint="eastAsia"/>
          <w:color w:val="000000"/>
          <w:szCs w:val="32"/>
          <w:shd w:val="clear" w:color="auto" w:fill="FFFFFF"/>
        </w:rPr>
        <w:t>多目标管理、开发全过程的动态管理要求</w:t>
      </w:r>
      <w:r>
        <w:rPr>
          <w:color w:val="000000"/>
          <w:szCs w:val="32"/>
          <w:shd w:val="clear" w:color="auto" w:fill="FFFFFF"/>
        </w:rPr>
        <w:t>，以及土地复垦、矿山地质环境保护与治理恢复要求等；</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3.法律、法规、政策文件规定的投标人或者竞买人的资质条件；</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4.投标人或者竞买人需具备的与勘查开采相匹配的资金实力等要求；</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5</w:t>
      </w:r>
      <w:r>
        <w:rPr>
          <w:color w:val="000000"/>
          <w:szCs w:val="32"/>
          <w:shd w:val="clear" w:color="auto" w:fill="FFFFFF"/>
        </w:rPr>
        <w:t>.出让方式及交易的时间、地点；</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6</w:t>
      </w:r>
      <w:r>
        <w:rPr>
          <w:color w:val="000000"/>
          <w:szCs w:val="32"/>
          <w:shd w:val="clear" w:color="auto" w:fill="FFFFFF"/>
        </w:rPr>
        <w:t>.获取招标、拍卖、挂牌文件的途径和申请报名的起止时间及方式；</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7</w:t>
      </w:r>
      <w:r>
        <w:rPr>
          <w:color w:val="000000"/>
          <w:szCs w:val="32"/>
          <w:shd w:val="clear" w:color="auto" w:fill="FFFFFF"/>
        </w:rPr>
        <w:t>.确定中标人、竞得人的标准和方法；</w:t>
      </w:r>
    </w:p>
    <w:p>
      <w:pPr>
        <w:adjustRightInd w:val="0"/>
        <w:snapToGrid w:val="0"/>
        <w:spacing w:line="600" w:lineRule="exact"/>
        <w:ind w:firstLine="640" w:firstLineChars="200"/>
        <w:rPr>
          <w:color w:val="000000"/>
          <w:kern w:val="0"/>
          <w:szCs w:val="32"/>
        </w:rPr>
      </w:pPr>
      <w:r>
        <w:rPr>
          <w:rFonts w:hint="eastAsia"/>
          <w:color w:val="000000"/>
          <w:kern w:val="0"/>
          <w:szCs w:val="32"/>
        </w:rPr>
        <w:t>8.</w:t>
      </w:r>
      <w:r>
        <w:rPr>
          <w:rFonts w:hint="eastAsia"/>
          <w:kern w:val="0"/>
          <w:szCs w:val="32"/>
        </w:rPr>
        <w:t>保金或银行担保函要求（如采取保金、保函方式的）；</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9</w:t>
      </w:r>
      <w:r>
        <w:rPr>
          <w:color w:val="000000"/>
          <w:szCs w:val="32"/>
          <w:shd w:val="clear" w:color="auto" w:fill="FFFFFF"/>
        </w:rPr>
        <w:t>.风险提示；</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10</w:t>
      </w:r>
      <w:r>
        <w:rPr>
          <w:color w:val="000000"/>
          <w:szCs w:val="32"/>
          <w:shd w:val="clear" w:color="auto" w:fill="FFFFFF"/>
        </w:rPr>
        <w:t>.对交易矿业权异议的处理方式；</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11</w:t>
      </w:r>
      <w:r>
        <w:rPr>
          <w:color w:val="000000"/>
          <w:szCs w:val="32"/>
          <w:shd w:val="clear" w:color="auto" w:fill="FFFFFF"/>
        </w:rPr>
        <w:t>.违约责任、公共资源交易领域失信联合惩戒相关提示；</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1</w:t>
      </w:r>
      <w:r>
        <w:rPr>
          <w:rFonts w:hint="eastAsia"/>
          <w:color w:val="000000"/>
          <w:szCs w:val="32"/>
          <w:shd w:val="clear" w:color="auto" w:fill="FFFFFF"/>
        </w:rPr>
        <w:t>2</w:t>
      </w:r>
      <w:r>
        <w:rPr>
          <w:color w:val="000000"/>
          <w:szCs w:val="32"/>
          <w:shd w:val="clear" w:color="auto" w:fill="FFFFFF"/>
        </w:rPr>
        <w:t>.需要公告的其他内容。</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第十二条 </w:t>
      </w:r>
      <w:r>
        <w:rPr>
          <w:color w:val="000000"/>
          <w:szCs w:val="32"/>
          <w:shd w:val="clear" w:color="auto" w:fill="FFFFFF"/>
        </w:rPr>
        <w:t>以招标、拍卖、挂牌方式出让矿业权的，应当在投标截止日、公开拍卖日或者挂牌起始日20个工作日前发布公告。</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出让公告发布期间，公告内容发生变化的，应当按原发布渠道重新发布出让公告或者变更出让公告。涉及矿种、范围、出让年限等重大变化的，投标截止日、公开拍卖日或者挂牌起始日应</w:t>
      </w:r>
      <w:r>
        <w:rPr>
          <w:rFonts w:hint="eastAsia"/>
          <w:color w:val="000000"/>
          <w:szCs w:val="32"/>
          <w:shd w:val="clear" w:color="auto" w:fill="FFFFFF"/>
        </w:rPr>
        <w:t>当</w:t>
      </w:r>
      <w:r>
        <w:rPr>
          <w:color w:val="000000"/>
          <w:szCs w:val="32"/>
          <w:shd w:val="clear" w:color="auto" w:fill="FFFFFF"/>
        </w:rPr>
        <w:t>按照20个工作日的时间要求顺延。</w:t>
      </w:r>
    </w:p>
    <w:p>
      <w:pPr>
        <w:widowControl/>
        <w:adjustRightInd w:val="0"/>
        <w:snapToGrid w:val="0"/>
        <w:spacing w:line="600" w:lineRule="exact"/>
        <w:ind w:firstLine="640" w:firstLineChars="200"/>
        <w:jc w:val="center"/>
        <w:textAlignment w:val="center"/>
        <w:rPr>
          <w:rFonts w:eastAsia="黑体"/>
          <w:color w:val="000000"/>
          <w:kern w:val="0"/>
          <w:szCs w:val="32"/>
        </w:rPr>
      </w:pPr>
      <w:r>
        <w:rPr>
          <w:rFonts w:hint="eastAsia" w:eastAsia="黑体"/>
          <w:color w:val="000000"/>
          <w:kern w:val="0"/>
          <w:szCs w:val="32"/>
        </w:rPr>
        <w:t xml:space="preserve">第四章 </w:t>
      </w:r>
      <w:r>
        <w:rPr>
          <w:rFonts w:eastAsia="黑体"/>
          <w:color w:val="000000"/>
          <w:kern w:val="0"/>
          <w:szCs w:val="32"/>
        </w:rPr>
        <w:t>交易形式及流程</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第十三条 </w:t>
      </w:r>
      <w:r>
        <w:rPr>
          <w:color w:val="000000"/>
          <w:szCs w:val="32"/>
          <w:shd w:val="clear" w:color="auto" w:fill="FFFFFF"/>
        </w:rPr>
        <w:t>交易平台应当按公告载明的时间、地点、方式，接受投标人或者竞买人的书面申请。</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投标人或者竞买人应当提供其符合矿业权受让人主体资质的有效证明材料，并对其真实性和合法性负责。</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第十四条 </w:t>
      </w:r>
      <w:r>
        <w:rPr>
          <w:color w:val="000000"/>
          <w:szCs w:val="32"/>
          <w:shd w:val="clear" w:color="auto" w:fill="FFFFFF"/>
        </w:rPr>
        <w:t>符合公告的受让人资质条件的投标人或者竞买人，经交易平台书面确认后取得交易资格。</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第十五条 </w:t>
      </w:r>
      <w:r>
        <w:rPr>
          <w:color w:val="000000"/>
          <w:szCs w:val="32"/>
          <w:shd w:val="clear" w:color="auto" w:fill="FFFFFF"/>
        </w:rPr>
        <w:t>交易平台应当按公告确定的时间、地点组织交易，并书面通知出让人和投标人或者竞买人参加。</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第十六条 </w:t>
      </w:r>
      <w:r>
        <w:rPr>
          <w:color w:val="000000"/>
          <w:szCs w:val="32"/>
          <w:shd w:val="clear" w:color="auto" w:fill="FFFFFF"/>
        </w:rPr>
        <w:t>招标出让矿业权的，每宗标的的投标人不得少于3人。少于3人的，出让人应当按照相关规定停止招标、重新组织或者选择其他方式交易。</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第十七条 </w:t>
      </w:r>
      <w:r>
        <w:rPr>
          <w:color w:val="000000"/>
          <w:szCs w:val="32"/>
          <w:shd w:val="clear" w:color="auto" w:fill="FFFFFF"/>
        </w:rPr>
        <w:t>招标、拍卖、挂牌方式出让矿业权的，招标标底、拍卖和挂牌底价由出让人在开标前、拍卖前或者挂牌期限届满前按国家有关规定确定。</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招标标底、拍卖和挂牌底价在交易活动结束前须保密且不得变更。</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无底价拍卖的，应当在竞价开始前予以说明；无底价挂牌的，应当在挂牌起始日予以说明。</w:t>
      </w:r>
    </w:p>
    <w:p>
      <w:pPr>
        <w:adjustRightInd w:val="0"/>
        <w:snapToGrid w:val="0"/>
        <w:spacing w:line="600" w:lineRule="exact"/>
        <w:ind w:firstLine="640" w:firstLineChars="200"/>
        <w:rPr>
          <w:color w:val="000000"/>
          <w:kern w:val="0"/>
          <w:szCs w:val="32"/>
        </w:rPr>
      </w:pPr>
      <w:r>
        <w:rPr>
          <w:rFonts w:hint="eastAsia" w:ascii="黑体" w:hAnsi="黑体" w:eastAsia="黑体"/>
          <w:color w:val="000000"/>
          <w:szCs w:val="32"/>
          <w:shd w:val="clear" w:color="auto" w:fill="FFFFFF"/>
        </w:rPr>
        <w:t xml:space="preserve">第十八条 </w:t>
      </w:r>
      <w:r>
        <w:rPr>
          <w:color w:val="000000"/>
          <w:szCs w:val="32"/>
          <w:shd w:val="clear" w:color="auto" w:fill="FFFFFF"/>
        </w:rPr>
        <w:t>招标出让矿业权应当按照招标投标法、招标投标法实施条例等组织招标投标活动，综合择优确定中标人。</w:t>
      </w:r>
    </w:p>
    <w:p>
      <w:pPr>
        <w:adjustRightInd w:val="0"/>
        <w:snapToGrid w:val="0"/>
        <w:spacing w:line="600" w:lineRule="exact"/>
        <w:ind w:firstLine="640" w:firstLineChars="200"/>
        <w:rPr>
          <w:color w:val="000000"/>
          <w:kern w:val="0"/>
          <w:szCs w:val="32"/>
          <w:bdr w:val="single" w:color="auto" w:sz="0" w:space="0"/>
          <w:shd w:val="clear" w:color="auto" w:fill="FFFFFF"/>
        </w:rPr>
      </w:pPr>
      <w:r>
        <w:rPr>
          <w:rFonts w:hint="eastAsia" w:ascii="黑体" w:hAnsi="黑体" w:eastAsia="黑体"/>
          <w:color w:val="000000"/>
          <w:szCs w:val="32"/>
          <w:shd w:val="clear" w:color="auto" w:fill="FFFFFF"/>
        </w:rPr>
        <w:t xml:space="preserve">第十九条 </w:t>
      </w:r>
      <w:r>
        <w:rPr>
          <w:color w:val="000000"/>
          <w:szCs w:val="32"/>
          <w:shd w:val="clear" w:color="auto" w:fill="FFFFFF"/>
        </w:rPr>
        <w:t>拍卖出让矿业权应当按照拍卖法组织拍卖活动。</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第二十条 </w:t>
      </w:r>
      <w:r>
        <w:rPr>
          <w:color w:val="000000"/>
          <w:szCs w:val="32"/>
          <w:shd w:val="clear" w:color="auto" w:fill="FFFFFF"/>
        </w:rPr>
        <w:t>挂牌期间，交易平台应当在挂牌起始日公布挂牌起始价、增价规则、挂牌时间等；竞买人在挂牌时间内填写报价单报价，报价相同的，最先报价为有效报价；交易平台确认有效报价后，更新挂牌价。</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挂牌期限届满，宣布最高报价及其报价者，并询问竞买人是否愿意继续竞价。有愿意继续竞价的，通过限时竞价确定竞得人。</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挂牌时间不得少于10个工作日。</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第二十一条</w:t>
      </w:r>
      <w:r>
        <w:rPr>
          <w:rFonts w:hint="eastAsia"/>
          <w:b/>
          <w:color w:val="000000"/>
          <w:szCs w:val="32"/>
          <w:shd w:val="clear" w:color="auto" w:fill="FFFFFF"/>
        </w:rPr>
        <w:t xml:space="preserve"> </w:t>
      </w:r>
      <w:r>
        <w:rPr>
          <w:color w:val="000000"/>
          <w:szCs w:val="32"/>
          <w:shd w:val="clear" w:color="auto" w:fill="FFFFFF"/>
        </w:rPr>
        <w:t>拍卖竞价结束、挂牌期限届满，交易平台依照下列规定确定是否成交：</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1.有底价的，不低于底价的最高报价者为竞得人；无底价的，不低于起始价的最高报价者为竞得人。如在挂牌期限内只有一个竞买人报价且不低于底价，挂牌成交。</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2.无人报价或者竞买人报价低于底价的，不成交。</w:t>
      </w:r>
    </w:p>
    <w:p>
      <w:pPr>
        <w:adjustRightInd w:val="0"/>
        <w:snapToGrid w:val="0"/>
        <w:spacing w:line="600" w:lineRule="exact"/>
        <w:ind w:firstLine="640" w:firstLineChars="200"/>
        <w:jc w:val="center"/>
        <w:rPr>
          <w:rFonts w:eastAsia="黑体"/>
          <w:color w:val="000000"/>
          <w:szCs w:val="32"/>
          <w:shd w:val="clear" w:color="auto" w:fill="FFFFFF"/>
        </w:rPr>
      </w:pPr>
      <w:r>
        <w:rPr>
          <w:rFonts w:hint="eastAsia" w:eastAsia="黑体"/>
          <w:color w:val="000000"/>
          <w:szCs w:val="32"/>
          <w:shd w:val="clear" w:color="auto" w:fill="FFFFFF"/>
        </w:rPr>
        <w:t xml:space="preserve">第五章 </w:t>
      </w:r>
      <w:r>
        <w:rPr>
          <w:rFonts w:eastAsia="黑体"/>
          <w:color w:val="000000"/>
          <w:szCs w:val="32"/>
          <w:shd w:val="clear" w:color="auto" w:fill="FFFFFF"/>
        </w:rPr>
        <w:t>确认及中止、终止</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第二十二条 </w:t>
      </w:r>
      <w:r>
        <w:rPr>
          <w:color w:val="000000"/>
          <w:szCs w:val="32"/>
          <w:shd w:val="clear" w:color="auto" w:fill="FFFFFF"/>
        </w:rPr>
        <w:t>招标成交的，交易平台应当在确定中标人的当天发出中标通知书，并同时将中标结果通知所有未中标的投标人；现场拍卖、挂牌成交的，应当当场签订成交确认书；网上拍卖、挂牌成交的，具备签订网上成交确认书条件的，应当在成交后即时签订，不具备条件的，应当在交易结束后5个工作日内到交易平台签订成交确认书。</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第二十三条 </w:t>
      </w:r>
      <w:r>
        <w:rPr>
          <w:color w:val="000000"/>
          <w:szCs w:val="32"/>
          <w:shd w:val="clear" w:color="auto" w:fill="FFFFFF"/>
        </w:rPr>
        <w:t>中标通知书或者成交确认书应当包括下列基本内容：</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1.出让人和中标人或者竞得人及交易平台的名称、住所；</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2.出让的矿业权名称、交易方式；</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3.成交时间、地点和成交价格，主要中标条件；</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4.出让人和竞得人对交易过程和交易结果的确认；</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5.矿业权出让合同的签订时间要求；</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6.需要约定的其他内容。</w:t>
      </w:r>
    </w:p>
    <w:p>
      <w:pPr>
        <w:adjustRightInd w:val="0"/>
        <w:snapToGrid w:val="0"/>
        <w:spacing w:line="600" w:lineRule="exact"/>
        <w:ind w:firstLine="627" w:firstLineChars="196"/>
        <w:rPr>
          <w:color w:val="000000"/>
          <w:szCs w:val="32"/>
          <w:shd w:val="clear" w:color="auto" w:fill="FFFFFF"/>
        </w:rPr>
      </w:pPr>
      <w:r>
        <w:rPr>
          <w:rFonts w:hint="eastAsia" w:ascii="黑体" w:hAnsi="黑体" w:eastAsia="黑体"/>
          <w:color w:val="000000"/>
          <w:szCs w:val="32"/>
          <w:shd w:val="clear" w:color="auto" w:fill="FFFFFF"/>
        </w:rPr>
        <w:t xml:space="preserve">第二十四条 </w:t>
      </w:r>
      <w:r>
        <w:rPr>
          <w:color w:val="000000"/>
          <w:szCs w:val="32"/>
          <w:shd w:val="clear" w:color="auto" w:fill="FFFFFF"/>
        </w:rPr>
        <w:t>有下列情形之一的，矿业权</w:t>
      </w:r>
      <w:r>
        <w:rPr>
          <w:rFonts w:hint="eastAsia"/>
          <w:color w:val="000000"/>
          <w:szCs w:val="32"/>
          <w:shd w:val="clear" w:color="auto" w:fill="FFFFFF"/>
        </w:rPr>
        <w:t>出让</w:t>
      </w:r>
      <w:r>
        <w:rPr>
          <w:color w:val="000000"/>
          <w:szCs w:val="32"/>
          <w:shd w:val="clear" w:color="auto" w:fill="FFFFFF"/>
        </w:rPr>
        <w:t>交易行为中止：</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1.公告公示期间发现出让的矿业权权属争议尚未解决；</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2.中标人、竞得人有矿产资源违法行为的行政处罚逾期不履行的；</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3.因不可抗力或者政策变化应当中止交易的其他情形。</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矿业权</w:t>
      </w:r>
      <w:r>
        <w:rPr>
          <w:rFonts w:hint="eastAsia"/>
          <w:color w:val="000000"/>
          <w:szCs w:val="32"/>
          <w:shd w:val="clear" w:color="auto" w:fill="FFFFFF"/>
        </w:rPr>
        <w:t>出让</w:t>
      </w:r>
      <w:r>
        <w:rPr>
          <w:color w:val="000000"/>
          <w:szCs w:val="32"/>
          <w:shd w:val="clear" w:color="auto" w:fill="FFFFFF"/>
        </w:rPr>
        <w:t>交易行为中止的原因消除后，应当及时恢复交易。</w:t>
      </w:r>
    </w:p>
    <w:p>
      <w:pPr>
        <w:adjustRightInd w:val="0"/>
        <w:snapToGrid w:val="0"/>
        <w:spacing w:line="600" w:lineRule="exact"/>
        <w:ind w:firstLine="627" w:firstLineChars="196"/>
        <w:rPr>
          <w:color w:val="000000"/>
          <w:szCs w:val="32"/>
          <w:shd w:val="clear" w:color="auto" w:fill="FFFFFF"/>
        </w:rPr>
      </w:pPr>
      <w:r>
        <w:rPr>
          <w:rFonts w:hint="eastAsia" w:ascii="黑体" w:hAnsi="黑体" w:eastAsia="黑体"/>
          <w:color w:val="000000"/>
          <w:szCs w:val="32"/>
          <w:shd w:val="clear" w:color="auto" w:fill="FFFFFF"/>
        </w:rPr>
        <w:t xml:space="preserve">第二十五条 </w:t>
      </w:r>
      <w:r>
        <w:rPr>
          <w:color w:val="000000"/>
          <w:szCs w:val="32"/>
          <w:shd w:val="clear" w:color="auto" w:fill="FFFFFF"/>
        </w:rPr>
        <w:t>有下列情形之一的，矿业权</w:t>
      </w:r>
      <w:r>
        <w:rPr>
          <w:rFonts w:hint="eastAsia"/>
          <w:color w:val="000000"/>
          <w:szCs w:val="32"/>
          <w:shd w:val="clear" w:color="auto" w:fill="FFFFFF"/>
        </w:rPr>
        <w:t>出让</w:t>
      </w:r>
      <w:r>
        <w:rPr>
          <w:color w:val="000000"/>
          <w:szCs w:val="32"/>
          <w:shd w:val="clear" w:color="auto" w:fill="FFFFFF"/>
        </w:rPr>
        <w:t>交易行为终止：</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1.出让人因有关政策规定、矿业权出让所依据的客观情况等发生重大变化提出终止交易；</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2.因不可抗力应当终止交易；</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3.法律法规规定的其他情形。</w:t>
      </w:r>
    </w:p>
    <w:p>
      <w:pPr>
        <w:adjustRightInd w:val="0"/>
        <w:snapToGrid w:val="0"/>
        <w:spacing w:line="600" w:lineRule="exact"/>
        <w:ind w:firstLine="627" w:firstLineChars="196"/>
        <w:rPr>
          <w:color w:val="000000"/>
          <w:szCs w:val="32"/>
          <w:shd w:val="clear" w:color="auto" w:fill="FFFFFF"/>
        </w:rPr>
      </w:pPr>
      <w:r>
        <w:rPr>
          <w:rFonts w:hint="eastAsia" w:ascii="黑体" w:hAnsi="黑体" w:eastAsia="黑体"/>
          <w:color w:val="000000"/>
          <w:szCs w:val="32"/>
          <w:shd w:val="clear" w:color="auto" w:fill="FFFFFF"/>
        </w:rPr>
        <w:t xml:space="preserve">第二十六条 </w:t>
      </w:r>
      <w:r>
        <w:rPr>
          <w:color w:val="000000"/>
          <w:szCs w:val="32"/>
          <w:shd w:val="clear" w:color="auto" w:fill="FFFFFF"/>
        </w:rPr>
        <w:t>出让人需要中止、终止或者恢复矿业权</w:t>
      </w:r>
      <w:r>
        <w:rPr>
          <w:rFonts w:hint="eastAsia"/>
          <w:color w:val="000000"/>
          <w:szCs w:val="32"/>
          <w:shd w:val="clear" w:color="auto" w:fill="FFFFFF"/>
        </w:rPr>
        <w:t>出让</w:t>
      </w:r>
      <w:r>
        <w:rPr>
          <w:color w:val="000000"/>
          <w:szCs w:val="32"/>
          <w:shd w:val="clear" w:color="auto" w:fill="FFFFFF"/>
        </w:rPr>
        <w:t>交易的，应当向交易平台出具书面意见。</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交易平台提出中止、终止或者恢复矿业权</w:t>
      </w:r>
      <w:r>
        <w:rPr>
          <w:rFonts w:hint="eastAsia"/>
          <w:color w:val="000000"/>
          <w:szCs w:val="32"/>
          <w:shd w:val="clear" w:color="auto" w:fill="FFFFFF"/>
        </w:rPr>
        <w:t>出让</w:t>
      </w:r>
      <w:r>
        <w:rPr>
          <w:color w:val="000000"/>
          <w:szCs w:val="32"/>
          <w:shd w:val="clear" w:color="auto" w:fill="FFFFFF"/>
        </w:rPr>
        <w:t>交易，需出具书面意见，并经出让人核实同意。</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交易平台应当及时发布中止、终止或者恢复交易的公告。</w:t>
      </w:r>
    </w:p>
    <w:p>
      <w:pPr>
        <w:widowControl/>
        <w:adjustRightInd w:val="0"/>
        <w:snapToGrid w:val="0"/>
        <w:spacing w:line="600" w:lineRule="exact"/>
        <w:ind w:firstLine="640" w:firstLineChars="200"/>
        <w:jc w:val="center"/>
        <w:textAlignment w:val="center"/>
        <w:rPr>
          <w:rFonts w:eastAsia="黑体"/>
          <w:color w:val="000000"/>
          <w:kern w:val="0"/>
          <w:szCs w:val="32"/>
        </w:rPr>
      </w:pPr>
      <w:r>
        <w:rPr>
          <w:rFonts w:hint="eastAsia" w:eastAsia="黑体"/>
          <w:color w:val="000000"/>
          <w:kern w:val="0"/>
          <w:szCs w:val="32"/>
        </w:rPr>
        <w:t xml:space="preserve">第六章 </w:t>
      </w:r>
      <w:r>
        <w:rPr>
          <w:rFonts w:eastAsia="黑体"/>
          <w:color w:val="000000"/>
          <w:kern w:val="0"/>
          <w:szCs w:val="32"/>
        </w:rPr>
        <w:t>公示</w:t>
      </w:r>
      <w:r>
        <w:rPr>
          <w:rFonts w:hint="eastAsia" w:eastAsia="黑体"/>
          <w:color w:val="000000"/>
          <w:kern w:val="0"/>
          <w:szCs w:val="32"/>
        </w:rPr>
        <w:t>公开</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第二十七条 </w:t>
      </w:r>
      <w:r>
        <w:rPr>
          <w:color w:val="000000"/>
          <w:szCs w:val="32"/>
          <w:shd w:val="clear" w:color="auto" w:fill="FFFFFF"/>
        </w:rPr>
        <w:t>招标、拍卖、挂牌方式出让矿业权交易成交的，交易平台和自然资源主管部门应当将成交结果进行公示。应当公示的主要内容包括：</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1.中标人或者竞得人的名称、住所；</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2.成交时间、地点；</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3.中标或者竞得的勘查区块、面积、开采范围的简要情况；</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4.矿业权成交价格；</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5.申请办理矿业权登记的时限；</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6.对公示内容提出异议的方式及途径；</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7.应当公示的其他内容。</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第二十八条 </w:t>
      </w:r>
      <w:r>
        <w:rPr>
          <w:color w:val="000000"/>
          <w:szCs w:val="32"/>
          <w:shd w:val="clear" w:color="auto" w:fill="FFFFFF"/>
        </w:rPr>
        <w:t>以协议方式出让矿业权的，在受理协议出让矿业权申请后，自然资源主管部门应当将相关信息进行公示。应当公示的主要内容包括：</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1.受让人名称、住所；</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2.项目名称或者矿山名称；</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3.拟协议出让矿业权的范围（含坐标、采矿权的开采标高、面积）及地理位置；</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4.勘查开采矿种、开采规模；</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5.符合协议出让规定的情形及理由；</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6.对公示内容提出异议的方式及途径；</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7.应当公开的其他内容。</w:t>
      </w:r>
    </w:p>
    <w:p>
      <w:pPr>
        <w:adjustRightInd w:val="0"/>
        <w:snapToGrid w:val="0"/>
        <w:spacing w:line="600" w:lineRule="exact"/>
        <w:ind w:firstLine="640" w:firstLineChars="200"/>
        <w:rPr>
          <w:color w:val="000000"/>
          <w:szCs w:val="32"/>
          <w:shd w:val="clear" w:color="auto" w:fill="FFFFFF"/>
        </w:rPr>
      </w:pPr>
      <w:r>
        <w:rPr>
          <w:color w:val="000000"/>
          <w:kern w:val="0"/>
          <w:szCs w:val="32"/>
          <w:shd w:val="clear" w:color="auto" w:fill="FFFFFF"/>
        </w:rPr>
        <w:t>自然资源部以协议方式出让的矿业权，需先征求省级人民政府意见的，</w:t>
      </w:r>
      <w:r>
        <w:rPr>
          <w:color w:val="000000"/>
          <w:kern w:val="0"/>
          <w:szCs w:val="32"/>
        </w:rPr>
        <w:t>由省级自然资源主管部门进行公示。</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第二十九条 </w:t>
      </w:r>
      <w:r>
        <w:rPr>
          <w:color w:val="000000"/>
          <w:szCs w:val="32"/>
          <w:shd w:val="clear" w:color="auto" w:fill="FFFFFF"/>
        </w:rPr>
        <w:t>招标、拍卖、挂牌方式出让矿业权成交的，交易平台应当在发出中标通知书或者签订成交确认书后5个工作日内进行信息公示。</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第三十条 </w:t>
      </w:r>
      <w:r>
        <w:rPr>
          <w:color w:val="000000"/>
          <w:szCs w:val="32"/>
          <w:shd w:val="clear" w:color="auto" w:fill="FFFFFF"/>
        </w:rPr>
        <w:t>以招标、拍卖、挂牌方式出让矿业权的，公示信息应当在下列平台同时发布：</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1.自然资源部门户网站；</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2.同级自然资源主管部门（或人民政府）门户网站；</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3.交易平台网站、交易大厅；</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4.有必要采取的其他方式。</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以协议方式出让矿业权的，公示信息应当在下列平台同时发布：</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1.自然资源部门户网站；</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2.同级自然资源主管部门（或人民政府）门户网站；</w:t>
      </w:r>
    </w:p>
    <w:p>
      <w:pPr>
        <w:adjustRightInd w:val="0"/>
        <w:snapToGrid w:val="0"/>
        <w:spacing w:line="600" w:lineRule="exact"/>
        <w:ind w:firstLine="640" w:firstLineChars="200"/>
        <w:outlineLvl w:val="1"/>
        <w:rPr>
          <w:color w:val="000000"/>
          <w:szCs w:val="32"/>
          <w:shd w:val="clear" w:color="auto" w:fill="FFFFFF"/>
        </w:rPr>
      </w:pPr>
      <w:r>
        <w:rPr>
          <w:color w:val="000000"/>
          <w:szCs w:val="32"/>
          <w:shd w:val="clear" w:color="auto" w:fill="FFFFFF"/>
        </w:rPr>
        <w:t>3.有必要采取的其他方式。</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公示期不少于10个工作日。</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第三十一条 </w:t>
      </w:r>
      <w:r>
        <w:rPr>
          <w:color w:val="000000"/>
          <w:kern w:val="0"/>
          <w:szCs w:val="32"/>
        </w:rPr>
        <w:t>交易平台确需收取相关服务费用的，应当按照</w:t>
      </w:r>
      <w:r>
        <w:rPr>
          <w:color w:val="000000"/>
          <w:szCs w:val="32"/>
          <w:shd w:val="clear" w:color="auto" w:fill="FFFFFF"/>
        </w:rPr>
        <w:t>规定报所在地价格主管部门批准，并公开收费标准。</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第三十二条 </w:t>
      </w:r>
      <w:r>
        <w:rPr>
          <w:color w:val="000000"/>
          <w:szCs w:val="32"/>
          <w:shd w:val="clear" w:color="auto" w:fill="FFFFFF"/>
        </w:rPr>
        <w:t>招标、拍卖、挂牌方式出让矿业权的，矿业权出让成交信息公示无异议的，出让人与中标人或者竞得人应当根据中标通知书或者成交确认书签订矿业权出让合同。矿业权出让合同应当包括下列基本内容：</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1.出让人、中标人或者竞得人和交易平台的名称、住所、法定代表人；</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2.出让矿业权的简要情况，包括项目名称、矿种、地理位置、拐点范围坐标、面积、资源储量（勘查工作程度）、开采标高等，资源开发利用、多目标管理、开发全过程的动态管理要求，以及土地复垦、矿山地质环境保护与治理恢复要求等;</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3.出让矿业权的年限；</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4.成交价格、付款期限、要求或者权益实现方式等；</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5.申请办理矿业权登记手续的时限及要求；</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6.争议解决方式及违约责任；</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7.需要约定的其他内容。</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以协议方式出让矿业权的，参照上述内容签订出让合同。</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第三十四条 </w:t>
      </w:r>
      <w:r>
        <w:rPr>
          <w:color w:val="000000"/>
          <w:szCs w:val="32"/>
          <w:shd w:val="clear" w:color="auto" w:fill="FFFFFF"/>
        </w:rPr>
        <w:t>中标人、竞得人履行相关手续后，持中标通知书或者成交确认书、矿业权出让合同、出让收益缴纳凭证等相关材料，向有登记权限的自然资源主管部门申请办理矿业权登记手续。</w:t>
      </w:r>
    </w:p>
    <w:p>
      <w:pPr>
        <w:adjustRightInd w:val="0"/>
        <w:snapToGrid w:val="0"/>
        <w:spacing w:line="600" w:lineRule="exact"/>
        <w:ind w:firstLine="640" w:firstLineChars="200"/>
        <w:jc w:val="center"/>
        <w:rPr>
          <w:rFonts w:eastAsia="黑体"/>
          <w:color w:val="000000"/>
          <w:szCs w:val="32"/>
          <w:shd w:val="clear" w:color="auto" w:fill="FFFFFF"/>
        </w:rPr>
      </w:pPr>
      <w:r>
        <w:rPr>
          <w:rFonts w:hint="eastAsia" w:eastAsia="黑体"/>
          <w:color w:val="000000"/>
          <w:szCs w:val="32"/>
          <w:shd w:val="clear" w:color="auto" w:fill="FFFFFF"/>
        </w:rPr>
        <w:t xml:space="preserve">第七章 </w:t>
      </w:r>
      <w:r>
        <w:rPr>
          <w:rFonts w:eastAsia="黑体"/>
          <w:color w:val="000000"/>
          <w:szCs w:val="32"/>
          <w:shd w:val="clear" w:color="auto" w:fill="FFFFFF"/>
        </w:rPr>
        <w:t>交易监管</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第三十三条 </w:t>
      </w:r>
      <w:r>
        <w:rPr>
          <w:color w:val="000000"/>
          <w:szCs w:val="32"/>
          <w:shd w:val="clear" w:color="auto" w:fill="FFFFFF"/>
        </w:rPr>
        <w:t>地方各级自然资源主管部门应当加强对矿业权</w:t>
      </w:r>
      <w:r>
        <w:rPr>
          <w:rFonts w:hint="eastAsia"/>
          <w:color w:val="000000"/>
          <w:szCs w:val="32"/>
          <w:shd w:val="clear" w:color="auto" w:fill="FFFFFF"/>
        </w:rPr>
        <w:t>出让</w:t>
      </w:r>
      <w:r>
        <w:rPr>
          <w:color w:val="000000"/>
          <w:szCs w:val="32"/>
          <w:shd w:val="clear" w:color="auto" w:fill="FFFFFF"/>
        </w:rPr>
        <w:t>交易活动的监督管理。上级自然资源主管部门负责监督下级自然资源主管部门的矿业权</w:t>
      </w:r>
      <w:r>
        <w:rPr>
          <w:rFonts w:hint="eastAsia"/>
          <w:color w:val="000000"/>
          <w:szCs w:val="32"/>
          <w:shd w:val="clear" w:color="auto" w:fill="FFFFFF"/>
        </w:rPr>
        <w:t>出让</w:t>
      </w:r>
      <w:r>
        <w:rPr>
          <w:color w:val="000000"/>
          <w:szCs w:val="32"/>
          <w:shd w:val="clear" w:color="auto" w:fill="FFFFFF"/>
        </w:rPr>
        <w:t>交易活动，并提供业务指导。</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自然资源主管部门应当加强对矿业权招标、拍卖、挂牌过程的监督，完善投诉举报处置机制，加强社会监督。</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第三十四条 </w:t>
      </w:r>
      <w:r>
        <w:rPr>
          <w:color w:val="000000"/>
          <w:szCs w:val="32"/>
          <w:shd w:val="clear" w:color="auto" w:fill="FFFFFF"/>
        </w:rPr>
        <w:t>矿业权</w:t>
      </w:r>
      <w:r>
        <w:rPr>
          <w:rFonts w:hint="eastAsia"/>
          <w:color w:val="000000"/>
          <w:szCs w:val="32"/>
          <w:shd w:val="clear" w:color="auto" w:fill="FFFFFF"/>
        </w:rPr>
        <w:t>出让</w:t>
      </w:r>
      <w:r>
        <w:rPr>
          <w:color w:val="000000"/>
          <w:szCs w:val="32"/>
          <w:shd w:val="clear" w:color="auto" w:fill="FFFFFF"/>
        </w:rPr>
        <w:t>交易过程中，交易平台及其工作人员有违法、违规行为的，由自然资源主管部门或者交易平台的主管部门依法依规予以处理；造成经济损失的，应当承担经济赔偿责任；情节严重、构成犯罪的，移交司法机关处理。</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第三十五条 </w:t>
      </w:r>
      <w:r>
        <w:rPr>
          <w:color w:val="000000"/>
          <w:szCs w:val="32"/>
          <w:shd w:val="clear" w:color="auto" w:fill="FFFFFF"/>
        </w:rPr>
        <w:t>自然资源主管部门应</w:t>
      </w:r>
      <w:r>
        <w:rPr>
          <w:rFonts w:hint="eastAsia"/>
          <w:color w:val="000000"/>
          <w:szCs w:val="32"/>
          <w:shd w:val="clear" w:color="auto" w:fill="FFFFFF"/>
        </w:rPr>
        <w:t>当</w:t>
      </w:r>
      <w:r>
        <w:rPr>
          <w:color w:val="000000"/>
          <w:szCs w:val="32"/>
          <w:shd w:val="clear" w:color="auto" w:fill="FFFFFF"/>
        </w:rPr>
        <w:t>指导交易平台，按照公共资源交易领域失信联合惩戒相关要求，依法依规做好矿业权招标、拍卖、挂牌活动中失信主体相关信息的记录、管理等工作，强化信用监管。</w:t>
      </w:r>
    </w:p>
    <w:p>
      <w:pPr>
        <w:adjustRightInd w:val="0"/>
        <w:snapToGrid w:val="0"/>
        <w:spacing w:line="600" w:lineRule="exact"/>
        <w:ind w:firstLine="640" w:firstLineChars="200"/>
        <w:rPr>
          <w:color w:val="000000"/>
          <w:kern w:val="0"/>
          <w:szCs w:val="32"/>
        </w:rPr>
      </w:pPr>
      <w:r>
        <w:rPr>
          <w:rFonts w:hint="eastAsia" w:ascii="黑体" w:hAnsi="黑体" w:eastAsia="黑体"/>
          <w:color w:val="000000"/>
          <w:szCs w:val="32"/>
          <w:shd w:val="clear" w:color="auto" w:fill="FFFFFF"/>
        </w:rPr>
        <w:t xml:space="preserve">第三十六条 </w:t>
      </w:r>
      <w:r>
        <w:rPr>
          <w:color w:val="000000"/>
          <w:kern w:val="0"/>
          <w:szCs w:val="32"/>
        </w:rPr>
        <w:t>交易平台应当对每一宗矿业权交易建立档案，收集、整理自接受委托至交易结束全过程产生的相关文书并分类登记造册</w:t>
      </w:r>
      <w:r>
        <w:rPr>
          <w:rFonts w:hint="eastAsia"/>
          <w:color w:val="000000"/>
          <w:kern w:val="0"/>
          <w:szCs w:val="32"/>
        </w:rPr>
        <w:t>，</w:t>
      </w:r>
      <w:r>
        <w:rPr>
          <w:color w:val="000000"/>
          <w:kern w:val="0"/>
          <w:szCs w:val="32"/>
        </w:rPr>
        <w:t>不得多</w:t>
      </w:r>
      <w:r>
        <w:rPr>
          <w:rFonts w:hint="eastAsia"/>
          <w:color w:val="000000"/>
          <w:kern w:val="0"/>
          <w:szCs w:val="32"/>
        </w:rPr>
        <w:t>宗矿业权</w:t>
      </w:r>
      <w:r>
        <w:rPr>
          <w:color w:val="000000"/>
          <w:kern w:val="0"/>
          <w:szCs w:val="32"/>
        </w:rPr>
        <w:t>打</w:t>
      </w:r>
      <w:r>
        <w:rPr>
          <w:rFonts w:hint="eastAsia"/>
          <w:color w:val="000000"/>
          <w:kern w:val="0"/>
          <w:szCs w:val="32"/>
        </w:rPr>
        <w:t>捆</w:t>
      </w:r>
      <w:r>
        <w:rPr>
          <w:color w:val="000000"/>
          <w:kern w:val="0"/>
          <w:szCs w:val="32"/>
        </w:rPr>
        <w:t>出让。</w:t>
      </w:r>
    </w:p>
    <w:p>
      <w:pPr>
        <w:widowControl/>
        <w:adjustRightInd w:val="0"/>
        <w:snapToGrid w:val="0"/>
        <w:spacing w:line="600" w:lineRule="exact"/>
        <w:ind w:firstLine="640" w:firstLineChars="200"/>
        <w:jc w:val="center"/>
        <w:textAlignment w:val="center"/>
        <w:rPr>
          <w:rFonts w:eastAsia="黑体"/>
          <w:color w:val="000000"/>
          <w:kern w:val="0"/>
          <w:szCs w:val="32"/>
        </w:rPr>
      </w:pPr>
      <w:r>
        <w:rPr>
          <w:rFonts w:hint="eastAsia" w:eastAsia="黑体"/>
          <w:color w:val="000000"/>
          <w:kern w:val="0"/>
          <w:szCs w:val="32"/>
        </w:rPr>
        <w:t xml:space="preserve">第八章 </w:t>
      </w:r>
      <w:r>
        <w:rPr>
          <w:rFonts w:eastAsia="黑体"/>
          <w:color w:val="000000"/>
          <w:kern w:val="0"/>
          <w:szCs w:val="32"/>
        </w:rPr>
        <w:t>违约责任及争议处理</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第三十七条 </w:t>
      </w:r>
      <w:r>
        <w:rPr>
          <w:color w:val="000000"/>
          <w:szCs w:val="32"/>
          <w:shd w:val="clear" w:color="auto" w:fill="FFFFFF"/>
        </w:rPr>
        <w:t>有下列情形之一的，视为投标人、竞买人、中标人、竞得人违约，按照公告或者合同约定承担相应的违约责任，接受公共资源交易领域失信联合惩戒：</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1.投标人相互串通投标、竞买人之间串通报价，损害国家利益、社会公共利益或者他人合法权益的；</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2.投标人、竞买人弄虚作假，骗取交易资格或中标</w:t>
      </w:r>
      <w:r>
        <w:rPr>
          <w:rFonts w:hint="eastAsia"/>
          <w:color w:val="000000"/>
          <w:szCs w:val="32"/>
          <w:shd w:val="clear" w:color="auto" w:fill="FFFFFF"/>
        </w:rPr>
        <w:t>、竞得</w:t>
      </w:r>
      <w:r>
        <w:rPr>
          <w:color w:val="000000"/>
          <w:szCs w:val="32"/>
          <w:shd w:val="clear" w:color="auto" w:fill="FFFFFF"/>
        </w:rPr>
        <w:t>的；</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3.中标人放弃中标项目的、竞得人拒绝签订矿业权成交确认书，中标人、竞得人逾期不签订或者拒绝签订出让合同的；</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4.中标人、竞得人未按约定的时间付清约定的矿业权出让收益或者其他相关费用的；</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5</w:t>
      </w:r>
      <w:r>
        <w:rPr>
          <w:color w:val="000000"/>
          <w:szCs w:val="32"/>
          <w:shd w:val="clear" w:color="auto" w:fill="FFFFFF"/>
        </w:rPr>
        <w:t>.向主管部门或者评标委员会及其成员行贿或者采取其他不正当手段中标或者竞得的；</w:t>
      </w:r>
    </w:p>
    <w:p>
      <w:pPr>
        <w:adjustRightInd w:val="0"/>
        <w:snapToGrid w:val="0"/>
        <w:spacing w:line="600" w:lineRule="exact"/>
        <w:ind w:firstLine="640" w:firstLineChars="200"/>
        <w:rPr>
          <w:color w:val="000000"/>
          <w:szCs w:val="32"/>
          <w:shd w:val="clear" w:color="auto" w:fill="FFFFFF"/>
        </w:rPr>
      </w:pPr>
      <w:r>
        <w:rPr>
          <w:rFonts w:hint="eastAsia"/>
          <w:color w:val="000000"/>
          <w:szCs w:val="32"/>
          <w:shd w:val="clear" w:color="auto" w:fill="FFFFFF"/>
        </w:rPr>
        <w:t>6</w:t>
      </w:r>
      <w:r>
        <w:rPr>
          <w:color w:val="000000"/>
          <w:szCs w:val="32"/>
          <w:shd w:val="clear" w:color="auto" w:fill="FFFFFF"/>
        </w:rPr>
        <w:t>.其他依法应当认定为违约的情形。</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第三十八条 </w:t>
      </w:r>
      <w:r>
        <w:rPr>
          <w:color w:val="000000"/>
          <w:szCs w:val="32"/>
          <w:shd w:val="clear" w:color="auto" w:fill="FFFFFF"/>
        </w:rPr>
        <w:t>交易过程中发生争议，合同有约定的，按合同执行；合同未约定的，由争议当事人协商解决，协商不成的，可依法向人民法院起诉。</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第三十九条 </w:t>
      </w:r>
      <w:r>
        <w:rPr>
          <w:rFonts w:hint="eastAsia"/>
          <w:color w:val="000000"/>
          <w:szCs w:val="32"/>
          <w:shd w:val="clear" w:color="auto" w:fill="FFFFFF"/>
        </w:rPr>
        <w:t>出现上述情形担保银行将担保金额全额赔付出让人。</w:t>
      </w:r>
    </w:p>
    <w:p>
      <w:pPr>
        <w:widowControl/>
        <w:adjustRightInd w:val="0"/>
        <w:snapToGrid w:val="0"/>
        <w:spacing w:line="600" w:lineRule="exact"/>
        <w:ind w:firstLine="640" w:firstLineChars="200"/>
        <w:jc w:val="center"/>
        <w:textAlignment w:val="center"/>
        <w:rPr>
          <w:rFonts w:eastAsia="黑体"/>
          <w:color w:val="000000"/>
          <w:kern w:val="0"/>
          <w:szCs w:val="32"/>
        </w:rPr>
      </w:pPr>
      <w:r>
        <w:rPr>
          <w:rFonts w:hint="eastAsia" w:eastAsia="黑体"/>
          <w:color w:val="000000"/>
          <w:kern w:val="0"/>
          <w:szCs w:val="32"/>
        </w:rPr>
        <w:t xml:space="preserve">第九章 </w:t>
      </w:r>
      <w:r>
        <w:rPr>
          <w:rFonts w:eastAsia="黑体"/>
          <w:color w:val="000000"/>
          <w:kern w:val="0"/>
          <w:szCs w:val="32"/>
        </w:rPr>
        <w:t>其他要求</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第四十条 </w:t>
      </w:r>
      <w:r>
        <w:rPr>
          <w:rFonts w:hint="eastAsia"/>
          <w:color w:val="000000"/>
          <w:szCs w:val="32"/>
          <w:shd w:val="clear" w:color="auto" w:fill="FFFFFF"/>
        </w:rPr>
        <w:t>盟市、旗县级自然资源部门发证权限矿业权出让可参照本实施细则开展矿业权出让工作</w:t>
      </w:r>
      <w:r>
        <w:rPr>
          <w:color w:val="000000"/>
          <w:szCs w:val="32"/>
          <w:shd w:val="clear" w:color="auto" w:fill="FFFFFF"/>
        </w:rPr>
        <w:t>，规范矿业权交易行为。</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 xml:space="preserve">第四十一条 </w:t>
      </w:r>
      <w:r>
        <w:rPr>
          <w:rFonts w:hint="eastAsia"/>
          <w:color w:val="000000"/>
          <w:szCs w:val="32"/>
          <w:shd w:val="clear" w:color="auto" w:fill="FFFFFF"/>
        </w:rPr>
        <w:t>鼓励矿业权转让进入平台交易，提高交易质量和水平，转让交易具体操作细则由自治区公共资源交易中心另行制定。</w:t>
      </w:r>
    </w:p>
    <w:p>
      <w:pPr>
        <w:adjustRightInd w:val="0"/>
        <w:snapToGrid w:val="0"/>
        <w:spacing w:line="600" w:lineRule="exact"/>
        <w:ind w:firstLine="640" w:firstLineChars="200"/>
        <w:rPr>
          <w:color w:val="000000"/>
          <w:kern w:val="0"/>
          <w:szCs w:val="32"/>
        </w:rPr>
      </w:pPr>
      <w:r>
        <w:rPr>
          <w:rFonts w:hint="eastAsia" w:ascii="黑体" w:hAnsi="黑体" w:eastAsia="黑体"/>
          <w:color w:val="000000"/>
          <w:szCs w:val="32"/>
          <w:shd w:val="clear" w:color="auto" w:fill="FFFFFF"/>
        </w:rPr>
        <w:t xml:space="preserve">第四十二条 </w:t>
      </w:r>
      <w:r>
        <w:rPr>
          <w:color w:val="000000"/>
          <w:kern w:val="0"/>
          <w:szCs w:val="32"/>
        </w:rPr>
        <w:t>矿业权</w:t>
      </w:r>
      <w:r>
        <w:rPr>
          <w:rFonts w:hint="eastAsia"/>
          <w:color w:val="000000"/>
          <w:kern w:val="0"/>
          <w:szCs w:val="32"/>
        </w:rPr>
        <w:t>出让</w:t>
      </w:r>
      <w:r>
        <w:rPr>
          <w:color w:val="000000"/>
          <w:kern w:val="0"/>
          <w:szCs w:val="32"/>
        </w:rPr>
        <w:t>交易活动中涉及的所有费用，均以人民币计价和结算。</w:t>
      </w:r>
    </w:p>
    <w:p>
      <w:pPr>
        <w:adjustRightInd w:val="0"/>
        <w:snapToGrid w:val="0"/>
        <w:spacing w:line="600" w:lineRule="exact"/>
        <w:ind w:firstLine="640" w:firstLineChars="200"/>
        <w:rPr>
          <w:color w:val="000000"/>
          <w:szCs w:val="32"/>
          <w:shd w:val="clear" w:color="auto" w:fill="FFFFFF"/>
        </w:rPr>
      </w:pPr>
      <w:r>
        <w:rPr>
          <w:rFonts w:hint="eastAsia" w:ascii="黑体" w:hAnsi="黑体" w:eastAsia="黑体"/>
          <w:color w:val="000000"/>
          <w:szCs w:val="32"/>
          <w:shd w:val="clear" w:color="auto" w:fill="FFFFFF"/>
        </w:rPr>
        <w:t>第四十三条</w:t>
      </w:r>
      <w:r>
        <w:rPr>
          <w:rFonts w:hint="eastAsia"/>
          <w:b/>
          <w:color w:val="000000"/>
          <w:szCs w:val="32"/>
          <w:shd w:val="clear" w:color="auto" w:fill="FFFFFF"/>
        </w:rPr>
        <w:t xml:space="preserve"> </w:t>
      </w:r>
      <w:r>
        <w:rPr>
          <w:color w:val="000000"/>
          <w:szCs w:val="32"/>
          <w:shd w:val="clear" w:color="auto" w:fill="FFFFFF"/>
        </w:rPr>
        <w:t>《</w:t>
      </w:r>
      <w:r>
        <w:rPr>
          <w:rFonts w:hint="eastAsia"/>
          <w:color w:val="000000"/>
          <w:szCs w:val="32"/>
          <w:shd w:val="clear" w:color="auto" w:fill="FFFFFF"/>
        </w:rPr>
        <w:t>内蒙古自治区国土资源厅关于印发〈内蒙古自治区矿业权交易实施细则〉的通知</w:t>
      </w:r>
      <w:r>
        <w:rPr>
          <w:color w:val="000000"/>
          <w:szCs w:val="32"/>
          <w:shd w:val="clear" w:color="auto" w:fill="FFFFFF"/>
        </w:rPr>
        <w:t>》（</w:t>
      </w:r>
      <w:r>
        <w:rPr>
          <w:rFonts w:hint="eastAsia"/>
          <w:color w:val="000000"/>
          <w:szCs w:val="32"/>
          <w:shd w:val="clear" w:color="auto" w:fill="FFFFFF"/>
        </w:rPr>
        <w:t>内</w:t>
      </w:r>
      <w:r>
        <w:rPr>
          <w:color w:val="000000"/>
          <w:szCs w:val="32"/>
          <w:shd w:val="clear" w:color="auto" w:fill="FFFFFF"/>
        </w:rPr>
        <w:t>国土资规</w:t>
      </w:r>
      <w:r>
        <w:rPr>
          <w:rFonts w:hint="eastAsia"/>
          <w:color w:val="000000"/>
          <w:szCs w:val="32"/>
          <w:shd w:val="clear" w:color="auto" w:fill="FFFFFF"/>
        </w:rPr>
        <w:t>字</w:t>
      </w:r>
      <w:r>
        <w:rPr>
          <w:color w:val="000000"/>
          <w:szCs w:val="32"/>
          <w:shd w:val="clear" w:color="auto" w:fill="FFFFFF"/>
        </w:rPr>
        <w:t>〔201</w:t>
      </w:r>
      <w:r>
        <w:rPr>
          <w:rFonts w:hint="eastAsia"/>
          <w:color w:val="000000"/>
          <w:szCs w:val="32"/>
          <w:shd w:val="clear" w:color="auto" w:fill="FFFFFF"/>
        </w:rPr>
        <w:t>8</w:t>
      </w:r>
      <w:r>
        <w:rPr>
          <w:color w:val="000000"/>
          <w:szCs w:val="32"/>
          <w:shd w:val="clear" w:color="auto" w:fill="FFFFFF"/>
        </w:rPr>
        <w:t>〕</w:t>
      </w:r>
      <w:r>
        <w:rPr>
          <w:rFonts w:hint="eastAsia"/>
          <w:color w:val="000000"/>
          <w:szCs w:val="32"/>
          <w:shd w:val="clear" w:color="auto" w:fill="FFFFFF"/>
        </w:rPr>
        <w:t>6</w:t>
      </w:r>
      <w:r>
        <w:rPr>
          <w:color w:val="000000"/>
          <w:szCs w:val="32"/>
          <w:shd w:val="clear" w:color="auto" w:fill="FFFFFF"/>
        </w:rPr>
        <w:t>号）同时废止。</w:t>
      </w:r>
    </w:p>
    <w:p>
      <w:pPr>
        <w:adjustRightInd w:val="0"/>
        <w:snapToGrid w:val="0"/>
        <w:spacing w:line="600" w:lineRule="exact"/>
        <w:ind w:firstLine="640" w:firstLineChars="200"/>
        <w:rPr>
          <w:color w:val="000000"/>
          <w:szCs w:val="32"/>
          <w:shd w:val="clear" w:color="auto" w:fill="FFFFFF"/>
        </w:rPr>
      </w:pPr>
      <w:r>
        <w:rPr>
          <w:color w:val="000000"/>
          <w:szCs w:val="32"/>
          <w:shd w:val="clear" w:color="auto" w:fill="FFFFFF"/>
        </w:rPr>
        <w:t>本</w:t>
      </w:r>
      <w:r>
        <w:rPr>
          <w:rFonts w:hint="eastAsia"/>
          <w:color w:val="000000"/>
          <w:szCs w:val="32"/>
          <w:shd w:val="clear" w:color="auto" w:fill="FFFFFF"/>
        </w:rPr>
        <w:t>细则</w:t>
      </w:r>
      <w:r>
        <w:rPr>
          <w:color w:val="000000"/>
          <w:szCs w:val="32"/>
          <w:shd w:val="clear" w:color="auto" w:fill="FFFFFF"/>
        </w:rPr>
        <w:t>施行前</w:t>
      </w:r>
      <w:r>
        <w:rPr>
          <w:rFonts w:hint="eastAsia"/>
          <w:color w:val="000000"/>
          <w:szCs w:val="32"/>
          <w:shd w:val="clear" w:color="auto" w:fill="FFFFFF"/>
        </w:rPr>
        <w:t>内蒙古自治区</w:t>
      </w:r>
      <w:r>
        <w:rPr>
          <w:color w:val="000000"/>
          <w:szCs w:val="32"/>
          <w:shd w:val="clear" w:color="auto" w:fill="FFFFFF"/>
        </w:rPr>
        <w:t>印发的其他</w:t>
      </w:r>
      <w:r>
        <w:rPr>
          <w:rFonts w:hint="eastAsia"/>
          <w:color w:val="000000"/>
          <w:szCs w:val="32"/>
          <w:shd w:val="clear" w:color="auto" w:fill="FFFFFF"/>
        </w:rPr>
        <w:t>规范</w:t>
      </w:r>
      <w:r>
        <w:rPr>
          <w:color w:val="000000"/>
          <w:szCs w:val="32"/>
          <w:shd w:val="clear" w:color="auto" w:fill="FFFFFF"/>
        </w:rPr>
        <w:t>与本</w:t>
      </w:r>
      <w:r>
        <w:rPr>
          <w:rFonts w:hint="eastAsia"/>
          <w:color w:val="000000"/>
          <w:szCs w:val="32"/>
          <w:shd w:val="clear" w:color="auto" w:fill="FFFFFF"/>
        </w:rPr>
        <w:t>细</w:t>
      </w:r>
      <w:r>
        <w:rPr>
          <w:color w:val="000000"/>
          <w:szCs w:val="32"/>
          <w:shd w:val="clear" w:color="auto" w:fill="FFFFFF"/>
        </w:rPr>
        <w:t>则规定不一致的，按照本</w:t>
      </w:r>
      <w:r>
        <w:rPr>
          <w:rFonts w:hint="eastAsia"/>
          <w:color w:val="000000"/>
          <w:szCs w:val="32"/>
          <w:shd w:val="clear" w:color="auto" w:fill="FFFFFF"/>
        </w:rPr>
        <w:t>细则</w:t>
      </w:r>
      <w:r>
        <w:rPr>
          <w:color w:val="000000"/>
          <w:szCs w:val="32"/>
          <w:shd w:val="clear" w:color="auto" w:fill="FFFFFF"/>
        </w:rPr>
        <w:t>执行。</w:t>
      </w:r>
    </w:p>
    <w:p>
      <w:pPr>
        <w:adjustRightInd w:val="0"/>
        <w:snapToGrid w:val="0"/>
        <w:spacing w:line="600" w:lineRule="exact"/>
        <w:ind w:firstLine="640" w:firstLineChars="200"/>
        <w:rPr>
          <w:szCs w:val="32"/>
        </w:rPr>
      </w:pPr>
      <w:r>
        <w:rPr>
          <w:rFonts w:hint="eastAsia" w:ascii="黑体" w:hAnsi="黑体" w:eastAsia="黑体"/>
          <w:color w:val="000000"/>
          <w:szCs w:val="32"/>
          <w:shd w:val="clear" w:color="auto" w:fill="FFFFFF"/>
        </w:rPr>
        <w:t xml:space="preserve">第四十四条 </w:t>
      </w:r>
      <w:r>
        <w:rPr>
          <w:color w:val="000000"/>
          <w:szCs w:val="32"/>
          <w:shd w:val="clear" w:color="auto" w:fill="FFFFFF"/>
        </w:rPr>
        <w:t>本</w:t>
      </w:r>
      <w:r>
        <w:rPr>
          <w:rFonts w:hint="eastAsia"/>
          <w:color w:val="000000"/>
          <w:szCs w:val="32"/>
          <w:shd w:val="clear" w:color="auto" w:fill="FFFFFF"/>
        </w:rPr>
        <w:t>细</w:t>
      </w:r>
      <w:r>
        <w:rPr>
          <w:color w:val="000000"/>
          <w:szCs w:val="32"/>
          <w:shd w:val="clear" w:color="auto" w:fill="FFFFFF"/>
        </w:rPr>
        <w:t>则自印发之日起施行，有效期五年</w:t>
      </w:r>
      <w:r>
        <w:rPr>
          <w:rFonts w:hint="eastAsia"/>
          <w:color w:val="000000"/>
          <w:szCs w:val="32"/>
          <w:shd w:val="clear" w:color="auto" w:fill="FFFFFF"/>
        </w:rPr>
        <w:t>，由内蒙古自治区自然资源厅负责解释。</w:t>
      </w:r>
    </w:p>
    <w:p>
      <w:pPr>
        <w:spacing w:line="600" w:lineRule="exact"/>
      </w:pPr>
    </w:p>
    <w:p/>
    <w:p/>
    <w:sectPr>
      <w:footerReference r:id="rId3" w:type="default"/>
      <w:pgSz w:w="11906" w:h="16838"/>
      <w:pgMar w:top="1701"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82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35024"/>
    <w:multiLevelType w:val="multilevel"/>
    <w:tmpl w:val="5E13502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2M0Y2I0NDE4N2MzNjU5MDRhZGUyNjFiNDUzNjAifQ=="/>
  </w:docVars>
  <w:rsids>
    <w:rsidRoot w:val="00000000"/>
    <w:rsid w:val="0FEA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主标题"/>
    <w:basedOn w:val="1"/>
    <w:qFormat/>
    <w:uiPriority w:val="0"/>
    <w:pPr>
      <w:spacing w:line="600" w:lineRule="exact"/>
      <w:jc w:val="center"/>
    </w:pPr>
    <w:rPr>
      <w:rFonts w:eastAsia="方正小标宋_GBK"/>
      <w:sz w:val="4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2023-05-17T01:38:24Z</dcterms:created>
  <dc:creator>Administrator</dc:creator>
  <cp:lastModifiedBy>Administrator</cp:lastModifiedBy>
  <dcterms:modified xsi:type="dcterms:W3CDTF">2023-05-17T01:38:36Z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54E2FEBDE71C421087C0B1EB2F158A5A_12</vt:lpwstr>
  </property>
</Properties>
</file>